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Депутатский запрос Кима Р.У.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Премьер-министру Республики Казахстан Мамину А.У.</w:t>
      </w:r>
    </w:p>
    <w:p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Уважаемый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Аскар Узакпаевич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своем Послании народу Казахстана от 5 октября 2018 года Елбасы поручил выстроить систему массового обучения сельских предпринимателей новым навыкам ведения хозяйства, а также привлечь в страну современные агротехнологий и «седые головы» – авторитетных зарубежных специалистов в области сельского хозяйства. Перед АПК поставлена амбициозная задача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повысить производительность труда и экспорт переработанной продукции в 2,5 раза в ближайшие пять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Вместе с тем в числе руководителей агробизнеса РК только 18% имеют образование аграрного профиля. 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качестве основного инструмента передачи знаний от научно-исследовательских организаций субъектам АПК в мировой практике выступает система распространения знаний «экстеншн», которая является государственной и постоянно действующей системой информирован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повышения квалификации сельских товаропроизводителей, элементом внедрения научных достижений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лучших практик </w:t>
      </w:r>
      <w:r>
        <w:rPr>
          <w:rFonts w:ascii="Times New Roman" w:eastAsia="Calibri" w:hAnsi="Times New Roman" w:cs="Times New Roman"/>
          <w:sz w:val="28"/>
          <w:szCs w:val="28"/>
        </w:rPr>
        <w:t>в производство. Кроме того, она позволяет наладить обратную связь фермеров с государственными органами и научно-исследовательскими университетами и вузами Министерства сельского хозяйства. О необходимости развертывания этой системы Мажилис Парламента в течение четырех лет неоднократно писал в рекомендациях, направляемых на Ваше имя, а воз и ныне там.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Система распространения знаний должна служить связующим звеном между наук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>, образовани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агробизнес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>. Сельчане, сегодня как никогда, нуждаются в информации о новых технологиях, сортах растений и породах животных и птиц, соответствующих природно-климатическим условиям, срокам высева и уборки, повышению урожайности почвы, их обработки, средствах защиты растений, рационах кормления животных, технологии ухода за животными и мн. др. А ученые, в свою очередь, через систему распространения знаний должны получать запросы АПК на проведение научных исследований, а учебные заведения – требования к подготовке кадров.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Министерством сельского хозяйства Республики Казахстан с 2008 года реализуется подпрограмма 100 «Информационное обеспечение субъектов АПК на безвозмездной основе» бюджетной программы 267 «Повышение доступности знаний и научных исследований» (далее – подпрограмма 100), цель которой - обеспечение прямого доступа сельскохозяйственным товаропроизводителям к результатам научно-технической и инновационной деятельности, а также ускоренное внедрение передовых технологий в сельскохозяйственное производство. 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2008 по 2009 годы оператором подпрограммы 100 являлся НАО «Национальный аграрный научно-образовательный центр» (ныне АО «КазАгроИнновация»); с 2009 по 2015 годы - АО «КазАгроМаркетинг»; с 2016 по 2019 годы - Национальная палата предпринимателей Республики Казахстан «Атамекен». А с 2020 года названная подпрограмма 100 передана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конкурентную среду. И это предполагает, что оператором подпрограммы могут быть и частные компании, у которых, как правило, отсутствует необходимый опыт в распространении знаний, нет должного кадрового и научного потенциалов, необходимой инфраструктуры (помещений и демонстрационных площадей) для организации процесса обучения и информирования, филиальной сети представительств в регионах и т.д. Для сведения: во всех развитых странах ОЭСР эту работу осуществляет государство.</w:t>
      </w:r>
    </w:p>
    <w:p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более усугубляет ситуацию с распространением знаний в АПК функционирование разрозненных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инструментов. </w:t>
      </w:r>
    </w:p>
    <w:p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сегодня действуют: 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«Государственная программа развития АПК -2021» (оператор   Министерство сельского хозяйства РК),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«Дорожная карта бизнеса-2020» - (оператор   Министерство национальной экономики РК),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«Дорожная карта занятости-2020» - (оператор   Министерство труда и социальной защиты населения РК),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«Бизнес-Бастау» (оператор НПП «Атамекен»)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 другие программы по линии местных бюджетов.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отсутствие единого оператора и стройной системы их распространения привели к значительным проблемам, а именно: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неэффективному использованию бюджета в реализации программы, что сдерживает рост сельхозпроизводства;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отсутствию современных форм и методов в обучении, консультировании и установлении обратной связи (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feedback</w:t>
      </w:r>
      <w:r>
        <w:rPr>
          <w:rFonts w:ascii="Times New Roman" w:hAnsi="Times New Roman" w:cs="Times New Roman"/>
          <w:noProof/>
          <w:sz w:val="28"/>
          <w:szCs w:val="28"/>
        </w:rPr>
        <w:t>) с субъектами АПК, внедрению научных результатов НИИ и опытных станций НАНОЦ МСХ в практику работы сельчан;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неразвитости инфраструктуры системы повышения квалификации, консультационных и информационных услуг для сельхозтоваропроизводителей;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отсутствию заинтересованности участий в системе распространения знаний крупных и передовых субъектов АПК.</w:t>
      </w:r>
    </w:p>
    <w:p>
      <w:pPr>
        <w:tabs>
          <w:tab w:val="left" w:pos="14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Исходя из вышеизложенного, считаем необходимым: </w:t>
      </w:r>
    </w:p>
    <w:p>
      <w:pPr>
        <w:tabs>
          <w:tab w:val="left" w:pos="14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1.Определить Единого оператора программы, а также разработать Концепцию Национальной системы распространения знаний в АПК;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 Поручить Министерству сельского хозяйства Республики Казахстан развернуть силами Национального научно-образовательного центра (НАНОЦ МСХ) деятельность центров распространения знаний в рамках ежегодного бюджетного финансирования.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Просим рассмотреть депутатский запрос и о принятых мерах предоставить ответ в письменной форме в порядке, предусмотренном действующим законодательством Республики Казахстан.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епутаты от </w:t>
      </w:r>
      <w:bookmarkStart w:id="0" w:name="_GoBack"/>
      <w:bookmarkEnd w:id="0"/>
    </w:p>
    <w:p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Ассамблеи народа Казахстана                                Р. Ким</w:t>
      </w:r>
    </w:p>
    <w:p>
      <w:pPr>
        <w:spacing w:after="0" w:line="240" w:lineRule="auto"/>
        <w:ind w:left="6229" w:firstLine="143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С. Абдрахманов</w:t>
      </w: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 В. Божко </w:t>
      </w:r>
    </w:p>
    <w:p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Н. Жумадильдаева</w:t>
      </w:r>
    </w:p>
    <w:p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                                                                                       Н. Микаелян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А. Мурадов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     Ш.Нурумов </w:t>
      </w:r>
    </w:p>
    <w:p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Ю. Тимощенко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Ш. Хахазов</w:t>
      </w:r>
    </w:p>
    <w:p>
      <w:pPr>
        <w:pBdr>
          <w:bottom w:val="single" w:sz="4" w:space="30" w:color="FFFFFF"/>
        </w:pBdr>
        <w:spacing w:after="0" w:line="240" w:lineRule="auto"/>
        <w:ind w:firstLine="851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>
      <w:pPr>
        <w:pBdr>
          <w:bottom w:val="single" w:sz="4" w:space="30" w:color="FFFFFF"/>
        </w:pBdr>
        <w:spacing w:after="0" w:line="240" w:lineRule="auto"/>
        <w:ind w:firstLine="851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член фракции «Нұр Отан» </w:t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Б. Оспанов</w:t>
      </w:r>
    </w:p>
    <w:p>
      <w:pPr>
        <w:pBdr>
          <w:bottom w:val="single" w:sz="4" w:space="30" w:color="FFFFFF"/>
        </w:pBdr>
        <w:spacing w:after="0" w:line="240" w:lineRule="auto"/>
        <w:ind w:firstLine="851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>
      <w:pPr>
        <w:pBdr>
          <w:bottom w:val="single" w:sz="4" w:space="30" w:color="FFFFFF"/>
        </w:pBdr>
        <w:spacing w:after="0" w:line="240" w:lineRule="auto"/>
        <w:ind w:firstLine="851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/>
    <w:sectPr>
      <w:headerReference w:type="default" r:id="rId6"/>
      <w:pgSz w:w="11906" w:h="16838"/>
      <w:pgMar w:top="56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jc w:val="center"/>
    </w:pPr>
  </w:p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B456E-7C70-4897-920E-AAC74790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Байжанова Айгуль</dc:creator>
  <cp:keywords/>
  <dc:description/>
  <cp:lastModifiedBy>Бапакова Сауле</cp:lastModifiedBy>
  <cp:revision>3</cp:revision>
  <cp:lastPrinted>2020-11-03T10:10:00Z</cp:lastPrinted>
  <dcterms:created xsi:type="dcterms:W3CDTF">2020-11-04T05:53:00Z</dcterms:created>
  <dcterms:modified xsi:type="dcterms:W3CDTF">2020-11-04T06:31:00Z</dcterms:modified>
</cp:coreProperties>
</file>