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</w:rPr>
      </w:pPr>
      <w:r>
        <w:rPr>
          <w:b/>
        </w:rPr>
        <w:t>Депутатский запрос Барлыбаева Е.Х.</w:t>
      </w:r>
    </w:p>
    <w:p>
      <w:pPr>
        <w:jc w:val="center"/>
        <w:rPr>
          <w:b/>
        </w:rPr>
      </w:pPr>
      <w:r>
        <w:rPr>
          <w:b/>
        </w:rPr>
        <w:t>Председателю Национального банка РК Досаеву Е. А.</w:t>
      </w:r>
    </w:p>
    <w:p>
      <w:pPr>
        <w:jc w:val="center"/>
      </w:pPr>
    </w:p>
    <w:p>
      <w:pPr>
        <w:ind w:firstLine="0"/>
        <w:jc w:val="center"/>
        <w:rPr>
          <w:b/>
        </w:rPr>
      </w:pPr>
      <w:r>
        <w:rPr>
          <w:b/>
        </w:rPr>
        <w:t>Уважаемый Ерболат Аскарбекович!</w:t>
      </w:r>
    </w:p>
    <w:p/>
    <w:p>
      <w:r>
        <w:t xml:space="preserve">Одной из важнейших составляющих экономики, наряду с производственной и торговой сферой является банковская система. В ситуации глобальных кризисов банковская система подвергается особому риску, так как именно через неё происходит взаимодействие различных секторов экономики, а кризисные явления, начавшись в одной отрасли, распространяются по другим секторам. Этим продиктовано особое внимание государства к банковской системе и выделение значительных средств на её поддержку в периоды глобальной нестабильности. </w:t>
      </w:r>
    </w:p>
    <w:p>
      <w:r>
        <w:t>Так, 13 октября 2008 года, в разгар мирового экономического кризиса 2007-2010 годов,   на расширенном заседании правительства было заявлено о выделении 10 млрд. долларов из Национального фонда, из которых около 4 млрд долларов (476 млрд тенге при курсе 119 тенге/доллар) было направлено на финансирование четырех крупнейших банков (Народный, Казкоммерц, Альянс-банк и БТА).</w:t>
      </w:r>
    </w:p>
    <w:p>
      <w:r>
        <w:t>В дальнейшем эти меры поддержки неоднократно повторялись вплоть до последнего времени. Например, в 2017 году пяти крупнейшим банкам - Евразийскому, АТФ, Цеснабанку, Банку ЦентрКредит, Bank RBK – выделена государственная поддержка в размере 650 млрд тенге, и так далее.</w:t>
      </w:r>
    </w:p>
    <w:p>
      <w:r>
        <w:t>И это не считая других мер поддержки, включая налоговые льготы, субсидирование процентных ставок бизнесу, конечным выгодополучателем по которым выступают те же банки, и т.д..</w:t>
      </w:r>
    </w:p>
    <w:p>
      <w:r>
        <w:t xml:space="preserve">При этом общество справедливо полагало, что государственные средства выделяются коммерческим банкам не для их собственного обогащения, а для перезагрузки функций банков по финансированию и кредитованию экономики. И наиболее адекватным индикатором здесь выступает кредитование юридических лиц, так как реальная экономика опирается на предприятия с определёнными параметрами производственных мощностей и количеством занятых. </w:t>
      </w:r>
    </w:p>
    <w:p>
      <w:r>
        <w:t xml:space="preserve">Повсеместно отмечаемый рост потребительского кредитования, синхронно с падением кредитования производств, означает лишь поддержку иностранных производителей, усиление импортозависимости рынка и ослабление национальной валюты.  </w:t>
      </w:r>
    </w:p>
    <w:p>
      <w:r>
        <w:t xml:space="preserve">Между тем, несмотря на всевозможные госпрограммы и всемерную поддержку банков последние 10-12 лет, кредитование юридических лиц банками второго уровня в прошлом году упало до анти-рекордных 22% к ВВП. </w:t>
      </w:r>
    </w:p>
    <w:p>
      <w:r>
        <w:t xml:space="preserve">Для сравнения, в стабильных экономиках этот показатель не менее 60%, а в развитых странах таких как как Германия, Канада, Сингапур – доходит до 200%. </w:t>
      </w:r>
    </w:p>
    <w:p>
      <w:r>
        <w:t>В то же время, по некоторым данным, постоянно растут объёмы приобретения банками второго уровня нот Нацбанка, что говорит о наличии свободных средств, и, одновременно – отсутствии заинтересованности БВУ и самого Нацбанка в кредитовании экономики.</w:t>
      </w:r>
    </w:p>
    <w:p>
      <w:r>
        <w:lastRenderedPageBreak/>
        <w:t>По данным экспертов, эти заимствования производятся Нацбанком для целенаправленного изъятия свободных средств у БВУ для снижения рисков инфляции.</w:t>
      </w:r>
    </w:p>
    <w:p>
      <w:r>
        <w:t>Но куда большее давление на инфляцию оказывает дороговизна импортируемых товаров в условиях, когда собственное производство сдерживается отсутствием кредитов.</w:t>
      </w:r>
    </w:p>
    <w:p>
      <w:r>
        <w:t xml:space="preserve"> В связи с вышеизложенным, депутатская фракция ДПК «Ак жол» просит предоставить ответы на следующие вопросы:</w:t>
      </w:r>
    </w:p>
    <w:p>
      <w:r>
        <w:t>1) Сколько денег было выделено из разных источников, включая Национальный фонд и ЕНПФ, на поддержку банковского сектора начиная с 2008 года по настоящий момент?</w:t>
      </w:r>
    </w:p>
    <w:p>
      <w:r>
        <w:t>2) На какую чистую сумму банки второго уровня выдали кредитов юридическим лицам, а также малому и среднему бизнесу за тот же период, без учёта начисленных на них процентов, штрафов и пеня?</w:t>
      </w:r>
    </w:p>
    <w:p>
      <w:r>
        <w:t>3) На какую сумму БВУ закупили ноты Нацбанка РК в эти же годы?</w:t>
      </w:r>
    </w:p>
    <w:p>
      <w:r>
        <w:t>4) Какую долю составили эти статьи (кредитование бизнеса и приобретение нот Нацбанка) в общей сумме полученной банками господдержки?</w:t>
      </w:r>
    </w:p>
    <w:p>
      <w:r>
        <w:t>5) Как оценивается эффект от государственной помощи банкам второго уровня в ежегодном росте ВВП Казахстана и каков вклад банковского сектора в формирование доходной части бюджета?</w:t>
      </w:r>
    </w:p>
    <w:p/>
    <w:p>
      <w:pPr>
        <w:rPr>
          <w:b/>
        </w:rPr>
      </w:pPr>
      <w:bookmarkStart w:id="0" w:name="_GoBack"/>
      <w:bookmarkEnd w:id="0"/>
      <w:r>
        <w:rPr>
          <w:b/>
        </w:rPr>
        <w:t>Депутаты фракции ДПК «Ак жол»</w:t>
      </w:r>
    </w:p>
    <w:sectPr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43BA3-D104-4193-87F9-4F57F71E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05B84-2BA5-47A8-B6F7-3C70518E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Куат Амирханов</dc:creator>
  <cp:lastModifiedBy>Бапакова Сауле</cp:lastModifiedBy>
  <cp:revision>2</cp:revision>
  <cp:lastPrinted>2019-11-12T09:56:00Z</cp:lastPrinted>
  <dcterms:created xsi:type="dcterms:W3CDTF">2019-11-13T08:39:00Z</dcterms:created>
  <dcterms:modified xsi:type="dcterms:W3CDTF">2019-11-13T08:39:00Z</dcterms:modified>
</cp:coreProperties>
</file>