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Депута</w:t>
      </w:r>
      <w:r>
        <w:rPr>
          <w:b/>
          <w:szCs w:val="28"/>
        </w:rPr>
        <w:t>т</w:t>
      </w:r>
      <w:r>
        <w:rPr>
          <w:b/>
          <w:szCs w:val="28"/>
        </w:rPr>
        <w:t xml:space="preserve">ский запрос </w:t>
      </w:r>
      <w:proofErr w:type="spellStart"/>
      <w:r>
        <w:rPr>
          <w:b/>
          <w:szCs w:val="28"/>
        </w:rPr>
        <w:t>Сыздыкова</w:t>
      </w:r>
      <w:proofErr w:type="spellEnd"/>
      <w:r>
        <w:rPr>
          <w:b/>
          <w:szCs w:val="28"/>
        </w:rPr>
        <w:t xml:space="preserve"> Т.И.</w:t>
      </w:r>
    </w:p>
    <w:p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Премьер-министру Республики Казахстан Мамину А. У.,</w:t>
      </w:r>
    </w:p>
    <w:p>
      <w:pPr>
        <w:spacing w:after="0" w:line="240" w:lineRule="auto"/>
        <w:rPr>
          <w:szCs w:val="28"/>
        </w:rPr>
      </w:pPr>
      <w:r>
        <w:rPr>
          <w:b/>
          <w:szCs w:val="28"/>
        </w:rPr>
        <w:t xml:space="preserve">Генеральному Прокурору Республики Казахстан </w:t>
      </w:r>
      <w:proofErr w:type="spellStart"/>
      <w:r>
        <w:rPr>
          <w:b/>
          <w:szCs w:val="28"/>
        </w:rPr>
        <w:t>Нурдаулетову</w:t>
      </w:r>
      <w:proofErr w:type="spellEnd"/>
      <w:r>
        <w:rPr>
          <w:b/>
          <w:szCs w:val="28"/>
        </w:rPr>
        <w:t xml:space="preserve"> Г.Д. </w:t>
      </w:r>
    </w:p>
    <w:p>
      <w:pPr>
        <w:spacing w:after="0" w:line="240" w:lineRule="auto"/>
        <w:rPr>
          <w:b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Уважаемый Аскар </w:t>
      </w:r>
      <w:proofErr w:type="spellStart"/>
      <w:r>
        <w:rPr>
          <w:b/>
          <w:szCs w:val="28"/>
        </w:rPr>
        <w:t>Узакпаевич</w:t>
      </w:r>
      <w:proofErr w:type="spellEnd"/>
      <w:r>
        <w:rPr>
          <w:b/>
          <w:szCs w:val="28"/>
        </w:rPr>
        <w:t>!</w:t>
      </w:r>
    </w:p>
    <w:p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Уважаемый </w:t>
      </w:r>
      <w:proofErr w:type="spellStart"/>
      <w:r>
        <w:rPr>
          <w:b/>
          <w:szCs w:val="28"/>
        </w:rPr>
        <w:t>Гизат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Дауренбекович</w:t>
      </w:r>
      <w:proofErr w:type="spellEnd"/>
      <w:r>
        <w:rPr>
          <w:b/>
          <w:szCs w:val="28"/>
        </w:rPr>
        <w:t>!</w:t>
      </w:r>
    </w:p>
    <w:p>
      <w:pPr>
        <w:spacing w:after="0" w:line="240" w:lineRule="auto"/>
        <w:jc w:val="center"/>
        <w:rPr>
          <w:b/>
          <w:szCs w:val="28"/>
        </w:rPr>
      </w:pPr>
    </w:p>
    <w:p>
      <w:pPr>
        <w:spacing w:after="0" w:line="240" w:lineRule="auto"/>
        <w:ind w:firstLine="851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Ряд мер системного характера, принятых государственными органами в последние годы, позволили заметно сократить в стране, так называемое, «тюремное население», вернув обществу не мало заблудших сыновей и дочерей. </w:t>
      </w:r>
    </w:p>
    <w:p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Вместе с тем, увеличение численности отбывающих наказание без традиционной изоляции выдвигает в приоритеты вопросы постоянного контроля над ними с целью реабилитации и адаптации в обществе, привлечения к общественно полезному труду, минимизации рецидивов преступлений. Эта социально значимая работа связана с внедрением электронных средств слежения, эффективность которых проверена мировой практикой.</w:t>
      </w:r>
    </w:p>
    <w:p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Ещё в августе 2010 года в Указе Главы государства «О мерах по повышению эффективности правоохранительной деятельности и судебной системы», а также в 2013 году в 33 шаге Плана нации прописаны конкретные поручения соответствующим министерствам и ведомствам по этому вопросу.</w:t>
      </w:r>
    </w:p>
    <w:p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В ответе на наш запрос от 16 августа 2016 года Правительство и Генеральная прокуратура подтвердили экономическую целесообразность «</w:t>
      </w:r>
      <w:proofErr w:type="spellStart"/>
      <w:r>
        <w:rPr>
          <w:szCs w:val="28"/>
        </w:rPr>
        <w:t>браслетизации</w:t>
      </w:r>
      <w:proofErr w:type="spellEnd"/>
      <w:r>
        <w:rPr>
          <w:szCs w:val="28"/>
        </w:rPr>
        <w:t>», которая, по их мнению, сократит расходы на одного заключённого более чем в 3 раза, было высказано мнение, что реализацию обсуждаемого проекта можно провести за счёт экономии средств, выделенных на содержание осужденных.</w:t>
      </w:r>
    </w:p>
    <w:p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Во исполнение этих документов КУИС озвучил программу тюремной реформы под звучным названием «Вместо тюрем-пробация и электронные браслеты», запустил проект «Десять мер по снижению тюремного населения», а 2014 год объявил стартовым для осуществления его. </w:t>
      </w:r>
    </w:p>
    <w:p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Активно включилось в работу национальное агентство «</w:t>
      </w:r>
      <w:proofErr w:type="spellStart"/>
      <w:r>
        <w:rPr>
          <w:szCs w:val="28"/>
        </w:rPr>
        <w:t>Казкосмос</w:t>
      </w:r>
      <w:proofErr w:type="spellEnd"/>
      <w:r>
        <w:rPr>
          <w:szCs w:val="28"/>
        </w:rPr>
        <w:t>». В сентябре 2016 года устами высокого чиновника было заявлено, что за счёт внутренних средств, используя спутниковую навигацию «…наши учёные и инженеры разработали систему, которая соответствует мировым стандартам» с программным обеспечением, сервер центром, каналами связи и т.д.</w:t>
      </w:r>
    </w:p>
    <w:p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Через год по этой теме прошёл Правительственный час в Мажилисе Парламента с выставкой, готовой к эксплуатации, оборудования. Информация, что она испытывается и проходит отраслевую экспертизу в Министерстве по инвестициям и развитию и, что уже в 2018 году начнутся работы по внедрению, воспринялась убедительнее, чем все предыдущие многочисленные обещания. Но, увы, и она канула в лету. Десятый год дальше разговоров и обещаний дело не продвигается.</w:t>
      </w:r>
    </w:p>
    <w:p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Как тут не вспомнить </w:t>
      </w:r>
      <w:r>
        <w:rPr>
          <w:szCs w:val="28"/>
          <w:lang w:val="kk-KZ"/>
        </w:rPr>
        <w:t xml:space="preserve">меткий </w:t>
      </w:r>
      <w:r>
        <w:rPr>
          <w:szCs w:val="28"/>
        </w:rPr>
        <w:t xml:space="preserve">народный юмор «обещать - не значит жениться». </w:t>
      </w:r>
    </w:p>
    <w:p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Коммунисты считают, что вопрос о реализации Указа Президента страны от 2010 года, 33 шага Плана нации по обсуждаемому вопросу требует глубокого и всестороннего рассмотрения в Правительстве и принятия мер по безусловному исполнению этих документов, с указанием конкретных сроков и исполнителей. </w:t>
      </w:r>
    </w:p>
    <w:p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Ответственно, на наш взгляд, следует отнестись к выбору разработчика и поставщика, необходимого для реализации проекта, оборудования. Это должны быть не какие-то полу кустарные ТОО, а предприятия с высокой репутацией, солидным научно-техническим потенциалом, способные обеспечить надлежащее качество пуско-наладочных работ и дальнейшее бесперебойное функционирование всей системы средств слежения за осужденными.</w:t>
      </w:r>
    </w:p>
    <w:p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Мы считаем, что пришло время внести соответствующие изменения и дополнения в законодательство, повышающие ответственность министерств и ведомств, местных исполнительных органов за несвоевременность финансирования принятых программ, главной причиной которых является не отсутствие средств, а низкое качество бюджетного прогнозирования и планирования.  </w:t>
      </w:r>
    </w:p>
    <w:p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Ответ о принимаемых мерах просим представить в сроки, определённые законодательством.</w:t>
      </w:r>
    </w:p>
    <w:p>
      <w:pPr>
        <w:spacing w:after="0" w:line="240" w:lineRule="auto"/>
        <w:ind w:firstLine="851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Члены фракции «Народные коммунисты»: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Сыздыков Т. 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Cs w:val="28"/>
        </w:rPr>
      </w:pPr>
      <w:proofErr w:type="spellStart"/>
      <w:r>
        <w:rPr>
          <w:b/>
          <w:szCs w:val="28"/>
        </w:rPr>
        <w:t>Ахметбеков</w:t>
      </w:r>
      <w:proofErr w:type="spellEnd"/>
      <w:r>
        <w:rPr>
          <w:b/>
          <w:szCs w:val="28"/>
        </w:rPr>
        <w:t xml:space="preserve"> Ж. А.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Cs w:val="28"/>
        </w:rPr>
      </w:pPr>
      <w:proofErr w:type="spellStart"/>
      <w:r>
        <w:rPr>
          <w:b/>
          <w:szCs w:val="28"/>
        </w:rPr>
        <w:t>Баймаханова</w:t>
      </w:r>
      <w:proofErr w:type="spellEnd"/>
      <w:r>
        <w:rPr>
          <w:b/>
          <w:szCs w:val="28"/>
        </w:rPr>
        <w:t xml:space="preserve"> Г. А.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Cs w:val="28"/>
        </w:rPr>
      </w:pPr>
      <w:r>
        <w:rPr>
          <w:b/>
          <w:szCs w:val="28"/>
        </w:rPr>
        <w:t xml:space="preserve">     </w:t>
      </w:r>
      <w:proofErr w:type="spellStart"/>
      <w:r>
        <w:rPr>
          <w:b/>
          <w:szCs w:val="28"/>
        </w:rPr>
        <w:t>Конуров</w:t>
      </w:r>
      <w:proofErr w:type="spellEnd"/>
      <w:r>
        <w:rPr>
          <w:b/>
          <w:szCs w:val="28"/>
        </w:rPr>
        <w:t xml:space="preserve"> А. О.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Cs w:val="28"/>
        </w:rPr>
      </w:pPr>
      <w:r>
        <w:rPr>
          <w:b/>
          <w:szCs w:val="28"/>
        </w:rPr>
        <w:t xml:space="preserve">     </w:t>
      </w:r>
      <w:r>
        <w:rPr>
          <w:b/>
          <w:szCs w:val="28"/>
          <w:lang w:val="kk-KZ"/>
        </w:rPr>
        <w:t xml:space="preserve"> </w:t>
      </w:r>
      <w:r>
        <w:rPr>
          <w:b/>
          <w:szCs w:val="28"/>
        </w:rPr>
        <w:t>Косарев В. Б.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Cs w:val="28"/>
        </w:rPr>
      </w:pPr>
      <w:proofErr w:type="spellStart"/>
      <w:r>
        <w:rPr>
          <w:b/>
          <w:szCs w:val="28"/>
        </w:rPr>
        <w:t>Магеррамов</w:t>
      </w:r>
      <w:proofErr w:type="spellEnd"/>
      <w:r>
        <w:rPr>
          <w:b/>
          <w:szCs w:val="28"/>
        </w:rPr>
        <w:t xml:space="preserve"> М. М.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Cs w:val="28"/>
        </w:rPr>
      </w:pPr>
      <w:r>
        <w:rPr>
          <w:b/>
          <w:szCs w:val="28"/>
        </w:rPr>
        <w:t>Смирнова И. А.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sectPr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A59D16-C97C-430E-8195-87E9DEBC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2">
    <w:name w:val="Body Text 2"/>
    <w:basedOn w:val="a"/>
    <w:link w:val="20"/>
    <w:semiHidden/>
    <w:pPr>
      <w:spacing w:after="0" w:line="240" w:lineRule="auto"/>
    </w:pPr>
    <w:rPr>
      <w:rFonts w:eastAsia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Pr>
      <w:rFonts w:ascii="Times New Roman" w:eastAsia="Times New Roman" w:hAnsi="Times New Roman"/>
      <w:b/>
      <w:sz w:val="28"/>
    </w:rPr>
  </w:style>
  <w:style w:type="character" w:styleId="a5">
    <w:name w:val="Hyperlink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Сыздыков Тургын</dc:creator>
  <cp:keywords/>
  <dc:description/>
  <cp:lastModifiedBy>Бапакова Сауле</cp:lastModifiedBy>
  <cp:revision>3</cp:revision>
  <cp:lastPrinted>2019-12-25T03:33:00Z</cp:lastPrinted>
  <dcterms:created xsi:type="dcterms:W3CDTF">2019-12-25T06:01:00Z</dcterms:created>
  <dcterms:modified xsi:type="dcterms:W3CDTF">2019-12-25T09:17:00Z</dcterms:modified>
</cp:coreProperties>
</file>