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FB" w:rsidRDefault="004C01FB" w:rsidP="0074407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bookmarkStart w:id="0" w:name="_GoBack"/>
      <w:bookmarkEnd w:id="0"/>
    </w:p>
    <w:p w:rsidR="004C01FB" w:rsidRPr="004C01FB" w:rsidRDefault="004C01FB" w:rsidP="004C01FB">
      <w:pPr>
        <w:tabs>
          <w:tab w:val="left" w:pos="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FB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4C01FB" w:rsidRPr="004C01FB" w:rsidRDefault="004C01FB" w:rsidP="004C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1FB">
        <w:rPr>
          <w:rFonts w:ascii="Times New Roman" w:hAnsi="Times New Roman" w:cs="Times New Roman"/>
          <w:b/>
          <w:sz w:val="24"/>
          <w:szCs w:val="24"/>
        </w:rPr>
        <w:t>к проекту Закона Республики Казахстан «О внесении изменений и дополнений в некоторые законодательные акты Республики Казахстан по вопросам здравоохранения»</w:t>
      </w:r>
    </w:p>
    <w:p w:rsidR="004C01FB" w:rsidRPr="004C01FB" w:rsidRDefault="004C01FB" w:rsidP="004C0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4900" w:type="dxa"/>
        <w:tblLayout w:type="fixed"/>
        <w:tblLook w:val="04A0" w:firstRow="1" w:lastRow="0" w:firstColumn="1" w:lastColumn="0" w:noHBand="0" w:noVBand="1"/>
      </w:tblPr>
      <w:tblGrid>
        <w:gridCol w:w="555"/>
        <w:gridCol w:w="1835"/>
        <w:gridCol w:w="4551"/>
        <w:gridCol w:w="5528"/>
        <w:gridCol w:w="2431"/>
      </w:tblGrid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528" w:type="dxa"/>
          </w:tcPr>
          <w:p w:rsidR="004C01FB" w:rsidRPr="004C01FB" w:rsidRDefault="004C01FB" w:rsidP="004C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2431" w:type="dxa"/>
          </w:tcPr>
          <w:p w:rsidR="004C01FB" w:rsidRPr="004C01FB" w:rsidRDefault="004C01FB" w:rsidP="004C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4C01FB" w:rsidRPr="004C01FB" w:rsidTr="004C01FB">
        <w:tc>
          <w:tcPr>
            <w:tcW w:w="14900" w:type="dxa"/>
            <w:gridSpan w:val="5"/>
          </w:tcPr>
          <w:p w:rsidR="004C01FB" w:rsidRPr="004C01FB" w:rsidRDefault="004C01FB" w:rsidP="004C01FB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Уголовный кодекс Республики Казахстан от 3 июля 2014 года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Абзац второй части 1, абзац второй части 2, абзац второй части 3 статьи 317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317. Ненадлежащее выполнение профессиональных обязанностей медицинским или фармацевтическим работником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1. Невыполнение,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ним, если эти деяния повлекли по неосторожности причинение средней тяжести вреда здоровью человека, –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наказываются штрафом в размере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до двухсот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месячных расчетных показателей либо исправительными работами в том же размере, либо привлечением к общественным работам на срок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до ста восьмидесяти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часов, либо арестом на срок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до пятидесяти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суток.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2. Деяния, предусмотренные частью первой настоящей статьи, повлекшие по неосторожности причинение тяжкого вреда здоровью, –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наказываются штрафом в размере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до трех тысяч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месячных расчетных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показателей либо исправительными работами в том же размере, либо ограничением свободы на срок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до трех лет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, либо лишением свободы на тот же срок, с лишением права занимать определенные должности или заниматься определенной деятельностью на срок до одного года или без такового.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3. Деяния, предусмотренные частью первой настоящей статьи, повлекшие по неосторожности смерть человека, –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Деяния, предусмотренные частью первой настоящей статьи, повлекшие по неосторожности смерть двух или более лиц, –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наказываются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лет.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Ненадлежащее выполнение профессиональных обязанностей медицинским работником, а равно работником организации бытового или иного обслуживания населения вследствие небрежного или недобросовестного отношения к ним, если </w:t>
            </w: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это деяние повлекло заражение другого лица ВИЧ, –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наказывается лишением </w:t>
            </w:r>
            <w:r w:rsidRPr="004C01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свободы на срок до пяти лет с лишением права занимать определенные должности или заниматься определенной деятельностью на срок до трех лет.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317. Ненадлежащее выполнение профессиональных обязанностей медицинским или фармацевтическим работником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1. Невыполнение,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ним, если эти деяния повлекли по неосторожности причинение средней тяжести вреда здоровью человека, –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наказываются штрафом в размере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ста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месячных расчетных показателей либо исправительными работами в том же размере, либо привлечением к общественным работам на срок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до ста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часов, либо арестом на срок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тридцати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суток.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2. Деяния, предусмотренные частью первой настоящей статьи, повлекшие по неосторожности причинение тяжкого вреда здоровью, –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наказывается штрафом в размере до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двух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тысяч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месячных расчетных показателей либо исправительными работами в том же размере, либо ограничением свободы на срок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двух лет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, либо лишением свободы на тот же срок, с лишением права занимать определенные должности или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заниматься определенной деятельностью на срок до одного года или без такового.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3. Деяния, предусмотренные частью первой настоящей статьи, повлекшие по неосторожности смерть человека, –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наказывается ограничением свободы на срок до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четырех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Деяния, предусмотренные частью первой настоящей статьи, повлекшие по неосторожности смерть двух или более лиц, –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наказывается ограничением свободы на срок до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шести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лет либо лишением свободы на тот же срок </w:t>
            </w:r>
            <w:r w:rsidRPr="004C01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лишением права занимать определенные должности или заниматься определенной деятельностью на срок до трех лет.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Ненадлежащее выполнение профессиональных обязанностей медицинским работником, а равно работником организации бытового или иного обслуживания населения вследствие небрежного или недобросовестного отношения к ним, если это деяние повлекло заражение другого лица ВИЧ, –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наказывается ограничением свободы на срок до пяти лет либо лишением свободы на тот же срок </w:t>
            </w:r>
            <w:r w:rsidRPr="004C01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лишением права занимать определенные должности или заниматься определенной деятельностью на срок до трех лет.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81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Из-за уголовной ответственности предусмотренной данной нормой, врачи стараются избегать высокой ответственности и последующего уголовного преследования. </w:t>
            </w:r>
          </w:p>
          <w:p w:rsidR="004C01FB" w:rsidRPr="004C01FB" w:rsidRDefault="004C01FB" w:rsidP="004C01FB">
            <w:pPr>
              <w:tabs>
                <w:tab w:val="left" w:pos="81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вместе с тем, высокой риск уголовной ответственности приводить к оттоку высококвалифицированных первоклассных специалистов из професии подготовка которых занимает десятки лет. В итоге это отражается на качестве оказания мед.услуг. В этой связи учитывая 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вышеизложенное, предлагается гуманизировать данную норму путем смягчения наказания.</w:t>
            </w:r>
          </w:p>
        </w:tc>
      </w:tr>
      <w:tr w:rsidR="004C01FB" w:rsidRPr="004C01FB" w:rsidTr="004C01FB">
        <w:tc>
          <w:tcPr>
            <w:tcW w:w="14900" w:type="dxa"/>
            <w:gridSpan w:val="5"/>
            <w:shd w:val="clear" w:color="auto" w:fill="auto"/>
          </w:tcPr>
          <w:p w:rsidR="004C01FB" w:rsidRPr="004C01FB" w:rsidRDefault="004C01FB" w:rsidP="004C0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2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hyperlink r:id="rId8" w:anchor="z0" w:history="1">
              <w:r w:rsidRPr="004C01FB">
                <w:rPr>
                  <w:rFonts w:ascii="Times New Roman" w:hAnsi="Times New Roman"/>
                  <w:b/>
                  <w:sz w:val="24"/>
                  <w:szCs w:val="24"/>
                </w:rPr>
                <w:t>Кодекс</w:t>
              </w:r>
            </w:hyperlink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Республики Казахстан «О здоровье народа и системе здравоохранения»</w:t>
            </w:r>
          </w:p>
        </w:tc>
      </w:tr>
      <w:tr w:rsidR="004C01FB" w:rsidRPr="004C01FB" w:rsidTr="004C01FB">
        <w:tc>
          <w:tcPr>
            <w:tcW w:w="555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br/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статьи 7</w:t>
            </w:r>
          </w:p>
        </w:tc>
        <w:tc>
          <w:tcPr>
            <w:tcW w:w="4551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7. Компетенция уполномоченного органа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41) разрабатывает и утверждает правила подтверждения результатов непрерывного профессионального развития работников здравоохранения;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 Компетенция уполномоченного органа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орган: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41) разрабатывает и утверждает правила подтверждения результатов непрерывного профессионального развития,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порядок присвоения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подтверждения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уровней квалификации работников здравоохранения;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Данная норма обусловлена необходимостью расширения регулятивных и реализационных функций Министерства здравоохранения Республики Казахстан в рамках отрасли, направленных утверждение порядка присвоения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подтверждения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уровней квалификации медицинских работников и на определение норм страхования профессиональной ответственности медицинских работников за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причинение ущерба жизни и здоровью пациента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Так, Министерство здравоохранения Республики Казахстан совместно с Агентством Республики Казахстан по регулированию и развитию финансового рынка разрабатывает и утверждает методику оценки и принципы расчета страховых тарифов по страхованию профессиональной ответственности медицинских работников и типовой договор страхования, так как в соответствии с подпунктом 1) пункта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br/>
              <w:t xml:space="preserve">15 Положения Агентства, утвержденный Указом Президента Республики Казахстан от 11 ноября 2019 года №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203 Агентство осуществляет в соответствии с Законом и иными законами Республики Казахстан в пределах своей компетенции государственное регулирование, контроль и надзор страховой (перестраховочной) организации; принимает решение о выдаче (отказе в выдаче) либо отзыве разрешения на создание страховых (перестраховочных) организаций; принимает решение о приостановлении, возобновлении действия либо лишении лицензии на право осуществления страховой (перестраховочной) деятельности и деятельности страхового брокера, актуарной деятельности на страховом рынке.</w:t>
            </w:r>
          </w:p>
        </w:tc>
      </w:tr>
      <w:tr w:rsidR="004C01FB" w:rsidRPr="004C01FB" w:rsidTr="004C01FB">
        <w:tc>
          <w:tcPr>
            <w:tcW w:w="555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Новый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br/>
              <w:t>104-1)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статьи 7</w:t>
            </w:r>
          </w:p>
        </w:tc>
        <w:tc>
          <w:tcPr>
            <w:tcW w:w="4551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7. Компетенция уполномоченного органа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Уполномоченный орган: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104-1)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7. Компетенция уполномоченного органа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орган: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...</w:t>
            </w:r>
          </w:p>
          <w:p w:rsidR="004C01FB" w:rsidRPr="004C01FB" w:rsidRDefault="004C01FB" w:rsidP="004C01FB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104-1) разрабатывает и утверждает типовой договор страхования профессиональной ответственности медицинских работников по согласованию с уполномоченным органом по регулированию, контролю и надзору финансового рынка и финансовых организаций;</w:t>
            </w:r>
          </w:p>
        </w:tc>
        <w:tc>
          <w:tcPr>
            <w:tcW w:w="2431" w:type="dxa"/>
            <w:vMerge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Подпункт 20) статьи 13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Местные органы государственного управления здравоохранением областей, городов республиканского значения и столицы в пределах своей компетенции: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20) организуют кадровое обеспечение руководителей государственных организаций здравоохранения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по согласованию с уполномоченным органом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13. Компетенция местных органов государственного управления здравоохранением областей, городов республиканского значения и столицы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Местные органы государственного управления здравоохранением областей, городов республиканского значения и столицы в пределах своей компетенции: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организ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овывает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назначения</w:t>
            </w:r>
            <w:r w:rsidRPr="004C01FB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руководителей государственных организаций здравоохранения;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В целях совершенствования механизма решения кадровых вопросов, связанных с назначением руководителей региональных государственных организаций здравоохранения предлагается исключить их согласование с уполномоченным органом. Кадровое обеспечение региональных государственных организаций здравоохранения относится к компетенции местных исполнительных органов областей, городов республиканского значения и столицы.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Пункт 5 статьи 63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bCs/>
                <w:sz w:val="24"/>
                <w:szCs w:val="24"/>
              </w:rPr>
              <w:t>Статья 63. Субъекты здравоохранения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...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5. Физические лица имеют право на занятие частной медицинской практикой при наличии сертификата специалиста в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области здравоохранения, стажа работы не менее пяти лет по соответствующей специальности и лицензии на медицинскую деятельность.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Статья 63. Субъекты здравоохранения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...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5. Физические лица имеют право на занятие частной медицинской практикой при наличии сертификата специалиста в области здравоохранения, стажа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работы не менее пяти лет по соответствующей специальности и лицензии на медицинскую деятельность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, а также договора страхования профессиональной ответственности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медицинск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их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Данная норма обусловлена в связи с необходимостью наличия договора страхования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ответственности медицинских работников для осуществления медицинской деятельности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</w:rPr>
              <w:t>подпункт 3) пункта 1 статьи 77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  <w:b/>
              </w:rPr>
              <w:t>Статья 77. Права граждан Республики Казахстан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1. Граждане Республики Казахстан имеют право на: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3) свободный выбор врача и медицинской организации;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  <w:b/>
              </w:rPr>
              <w:t>Статья 77. Права граждан Республики Казахстан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1. Граждане Республики Казахстан имеют право на: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…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 xml:space="preserve">3) свободный выбор </w:t>
            </w:r>
            <w:r w:rsidRPr="004C01FB">
              <w:rPr>
                <w:rFonts w:ascii="Times New Roman" w:hAnsi="Times New Roman"/>
                <w:b/>
              </w:rPr>
              <w:t>медицинского работника</w:t>
            </w:r>
            <w:r w:rsidRPr="004C01FB">
              <w:rPr>
                <w:rFonts w:ascii="Times New Roman" w:hAnsi="Times New Roman"/>
              </w:rPr>
              <w:t xml:space="preserve"> и </w:t>
            </w:r>
            <w:r w:rsidRPr="004C01FB">
              <w:rPr>
                <w:rFonts w:ascii="Times New Roman" w:hAnsi="Times New Roman"/>
                <w:b/>
              </w:rPr>
              <w:t>субъекта здравоохранения</w:t>
            </w:r>
            <w:r w:rsidRPr="004C01FB">
              <w:rPr>
                <w:rFonts w:ascii="Times New Roman" w:hAnsi="Times New Roman"/>
              </w:rPr>
              <w:t>;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</w:rPr>
              <w:t xml:space="preserve">Уточнение в связи с тем, что согласно положениям Кодекса «О здоровье народа и системе здравоохранения» медицинскую помощь оказывают не только медицинские организации, но и физические лица, занимающиеся частной медицинской практикой, поэтому свободный выбор должен быть не только среди медицинских организации, а в целом среди субъектов здравоохранения. 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4C01FB">
              <w:rPr>
                <w:rFonts w:ascii="Times New Roman" w:hAnsi="Times New Roman"/>
              </w:rPr>
              <w:t>одпункт</w:t>
            </w:r>
            <w:proofErr w:type="spellEnd"/>
            <w:r w:rsidRPr="004C01FB">
              <w:rPr>
                <w:rFonts w:ascii="Times New Roman" w:hAnsi="Times New Roman"/>
              </w:rPr>
              <w:t xml:space="preserve"> 12) пункта 1 статьи 77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  <w:b/>
              </w:rPr>
              <w:t>Статья 77. Права граждан Республики Казахстан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1. Граждане Республики Казахстан имеют право на: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…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 xml:space="preserve">12) возмещение вреда, причиненного здоровью при оказании им медицинской </w:t>
            </w:r>
            <w:r w:rsidRPr="004C01FB">
              <w:rPr>
                <w:rFonts w:ascii="Times New Roman" w:hAnsi="Times New Roman"/>
              </w:rPr>
              <w:lastRenderedPageBreak/>
              <w:t>помощи, в соответствии с законодательством Республики Казахстан;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  <w:b/>
              </w:rPr>
              <w:lastRenderedPageBreak/>
              <w:t>Статья 77. Права граждан Республики Казахстан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1. Граждане Республики Казахстан имеют право на: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…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 xml:space="preserve">12) возмещение вреда, причиненного здоровью </w:t>
            </w:r>
            <w:r w:rsidRPr="004C01FB">
              <w:rPr>
                <w:rFonts w:ascii="Times New Roman" w:hAnsi="Times New Roman"/>
                <w:b/>
              </w:rPr>
              <w:t>и</w:t>
            </w:r>
            <w:r w:rsidRPr="004C01FB">
              <w:rPr>
                <w:rFonts w:ascii="Times New Roman" w:hAnsi="Times New Roman"/>
              </w:rPr>
              <w:t xml:space="preserve"> </w:t>
            </w:r>
            <w:r w:rsidRPr="004C01FB">
              <w:rPr>
                <w:rFonts w:ascii="Times New Roman" w:hAnsi="Times New Roman"/>
                <w:b/>
              </w:rPr>
              <w:t>жизни</w:t>
            </w:r>
            <w:r w:rsidRPr="004C01FB">
              <w:rPr>
                <w:rFonts w:ascii="Times New Roman" w:hAnsi="Times New Roman"/>
              </w:rPr>
              <w:t xml:space="preserve"> при оказании им медицинской помощи, в соответствии с </w:t>
            </w:r>
            <w:r w:rsidRPr="004C01FB">
              <w:rPr>
                <w:rFonts w:ascii="Times New Roman" w:hAnsi="Times New Roman"/>
              </w:rPr>
              <w:lastRenderedPageBreak/>
              <w:t xml:space="preserve">законодательством Республики Казахстан, </w:t>
            </w:r>
            <w:r w:rsidRPr="004C01FB">
              <w:rPr>
                <w:rFonts w:ascii="Times New Roman" w:hAnsi="Times New Roman"/>
                <w:b/>
              </w:rPr>
              <w:t>в том числе путем страховой выплаты</w:t>
            </w:r>
            <w:r w:rsidRPr="004C01FB">
              <w:rPr>
                <w:rFonts w:ascii="Times New Roman" w:hAnsi="Times New Roman"/>
              </w:rPr>
              <w:t>;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lastRenderedPageBreak/>
              <w:t xml:space="preserve">Уточнение в связи с внедрением страхования профессиональной ответственности медицинских работников 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4C01FB">
              <w:rPr>
                <w:rFonts w:ascii="Times New Roman" w:hAnsi="Times New Roman"/>
              </w:rPr>
              <w:t>одпункт</w:t>
            </w:r>
            <w:proofErr w:type="spellEnd"/>
            <w:r w:rsidRPr="004C01FB">
              <w:rPr>
                <w:rFonts w:ascii="Times New Roman" w:hAnsi="Times New Roman"/>
              </w:rPr>
              <w:t xml:space="preserve"> 23) пункта 1 статьи 77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  <w:b/>
              </w:rPr>
              <w:t>Статья 77. Права граждан Республики Казахстан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1. Граждане Республики Казахстан имеют право на: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</w:rPr>
              <w:t>23) иные права в соответствии с законами Республики Казахстан.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  <w:b/>
              </w:rPr>
              <w:t>Статья 77. Права граждан Республики Казахстан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1. Граждане Республики Казахстан имеют право на: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>…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</w:rPr>
            </w:pPr>
            <w:r w:rsidRPr="004C01FB">
              <w:rPr>
                <w:rFonts w:ascii="Times New Roman" w:hAnsi="Times New Roman"/>
              </w:rPr>
              <w:t xml:space="preserve">23) иные права в соответствии с </w:t>
            </w:r>
            <w:r w:rsidRPr="004C01FB">
              <w:rPr>
                <w:rFonts w:ascii="Times New Roman" w:hAnsi="Times New Roman"/>
                <w:b/>
              </w:rPr>
              <w:t>законодательством</w:t>
            </w:r>
            <w:r w:rsidRPr="004C01FB">
              <w:rPr>
                <w:rFonts w:ascii="Times New Roman" w:hAnsi="Times New Roman"/>
              </w:rPr>
              <w:t xml:space="preserve"> Республики Казахстан.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</w:rPr>
            </w:pPr>
            <w:r w:rsidRPr="004C01FB">
              <w:rPr>
                <w:rFonts w:ascii="Times New Roman" w:hAnsi="Times New Roman"/>
              </w:rPr>
              <w:t xml:space="preserve">Права граждан в сфере здравоохранения предусмотрены не только на уровне законодательного акта, но и в подзаконных актах. 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Новый подпункт 11) пункта 2 статьи 115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115. Организация медицинской помощи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2. Субъекты здравоохранения, оказывающие медицинскую помощь, обязаны обеспечивать: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11) отсутствует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115. Организация медицинской помощи</w:t>
            </w:r>
          </w:p>
          <w:p w:rsidR="004C01FB" w:rsidRPr="004C01FB" w:rsidRDefault="004C01FB" w:rsidP="004C01FB">
            <w:pPr>
              <w:tabs>
                <w:tab w:val="left" w:pos="595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2. Субъекты здравоохранения, оказывающие медицинскую помощь, обязаны обеспечивать:</w:t>
            </w:r>
          </w:p>
          <w:p w:rsidR="004C01FB" w:rsidRPr="004C01FB" w:rsidRDefault="004C01FB" w:rsidP="004C01FB">
            <w:pPr>
              <w:tabs>
                <w:tab w:val="left" w:pos="595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11) страхование профессиональной ответственности медицинских работников;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В реализацию норм регулирующих страхование профессиональной ответственности необходимо определить обязанность субъектов здравоохранения по заключению договора страхования профессиональной ответственности медицинских работников за причинение ущерба жизни и здоровью пациента.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одпункт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10) пункта 1 статьи 270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270. Статус медицинских и фармацевтических работников и их права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1. Медицинские и фармацевтические работники имеют право на основные гарантии, предусмотренные трудовым законодательством Республики Казахстан и иными нормативными правовыми актами, в том числе на:</w:t>
            </w:r>
          </w:p>
          <w:p w:rsidR="004C01FB" w:rsidRPr="004C01FB" w:rsidRDefault="004C01FB" w:rsidP="004C01FB">
            <w:pPr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10) возмещение транспортных расходов, связанных с проездом.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270. Статус медицинских и фармацевтических работников и их права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1. Медицинские и фармацевтические работники имеют право на основные гарантии,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трудовым законодательством Республики Казахстан и иными нормативными правовыми актами, в том числе на:</w:t>
            </w:r>
          </w:p>
          <w:p w:rsidR="004C01FB" w:rsidRPr="004C01FB" w:rsidRDefault="004C01FB" w:rsidP="004C01FB">
            <w:pPr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10)  возмещение транспортных расходов, связанных с проездом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для осуществления профессиональной деятельности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В целях стимулирования и финансовой защиты 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медицинского работника.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пункт 2 статьи 270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270. Статус медицинских и фармацевтических работников и их права</w:t>
            </w:r>
          </w:p>
          <w:p w:rsidR="004C01FB" w:rsidRPr="004C01FB" w:rsidRDefault="004C01FB" w:rsidP="004C01FB">
            <w:pPr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4C01FB" w:rsidRPr="004C01FB" w:rsidRDefault="004C01FB" w:rsidP="004C01FB">
            <w:pPr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2. Правом на занятие медицинской деятельностью владеют работники,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имеющие техническое и профессиональное,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послесреднее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образование,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высшее, послевузовское медицинское образование, подтвержденное сертификатом специалиста в области здравоохранения.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270. Статус медицинских и фармацевтических работников и их права</w:t>
            </w:r>
          </w:p>
          <w:p w:rsidR="004C01FB" w:rsidRPr="004C01FB" w:rsidRDefault="004C01FB" w:rsidP="004C01FB">
            <w:pPr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4C01FB" w:rsidRPr="004C01FB" w:rsidRDefault="004C01FB" w:rsidP="004C01FB">
            <w:pPr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2. Исключить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Согласно п. 3 статьи 24 ЗРК «О правовых актах» текст нормативного правового акта излагается с соблюдением норм литературного языка, юридической терминологии и юридической техники, его положения должны быть предельно краткими, содержать четкий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и не подлежащий различному толкованию смысл.</w:t>
            </w:r>
          </w:p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. 184) статьи 1 Кодекса предусмотрено определение «медицинская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– профессиональная деятельность физических лиц, получивших техническое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и профессиональное,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послесреднее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, высшее и (или) послевузовское медицинское образование,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а также юридических лиц, направленная на охрану здоровья населения Республики Казахстан».</w:t>
            </w:r>
          </w:p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Кроме того, согласно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. 1) п. 4 статьи 27 Кодекса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запрещается без наличия соответствующего сертификата специалиста в области здравоохранения занятие клинической практикой,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за исключением врачей-резидентов, которые допускаются к клинической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практике (работе с пациентами) под надзором наставника и иностранных специалистов, имеющих признанные документы об образовании.</w:t>
            </w:r>
          </w:p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В этой связи во избежание различного толкования норм законодательства предлагается исключить п. 2 ст. 270 Кодекса.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Статья 270-1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Статья 270-1. </w:t>
            </w:r>
            <w:r w:rsidRPr="004C01F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Страхование профессиональной ответственности медицинских работников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Субъекты здравоохранения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обязаны заключить договор страхования профессиональной ответственности медицинских работников, до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медицинскими работниками вида медицинской деятельности, пре</w:t>
            </w:r>
            <w:r w:rsidR="009A2183">
              <w:rPr>
                <w:rFonts w:ascii="Times New Roman" w:hAnsi="Times New Roman"/>
                <w:color w:val="000000"/>
                <w:sz w:val="24"/>
                <w:szCs w:val="24"/>
              </w:rPr>
              <w:t>дусмотренного в подпунктах 1)–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5), 8) статьи 64 настоящего Кодекса.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Субъект здравоохранения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не вправе </w:t>
            </w:r>
            <w:proofErr w:type="spellStart"/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proofErr w:type="spellEnd"/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ть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без заключения договора страхования профессиональной ответственности </w:t>
            </w:r>
            <w:proofErr w:type="spellStart"/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медицинск</w:t>
            </w:r>
            <w:proofErr w:type="spellEnd"/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их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ов.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Заключение субъектами здравоохранения и/или медицинским работником договора добровольного страхования своей гражданско-правовой ответственности, связанной с осуществлением медицинской деятельности, не освобождает их от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обязанности по заключению договора страхования профессиональной ответственности медицинского работника.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4.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Объектом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страхование профессиональной ответственности медицинских работников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является профессиональная ответственность медицинского работника и его имущественные интересы, связанные с обязанностью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 </w:t>
            </w:r>
            <w:proofErr w:type="spellStart"/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возме</w:t>
            </w:r>
            <w:proofErr w:type="spellEnd"/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щению вреда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, причиненный третьим лицам в результате осуществления им медицинской деятельности.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Страховым случаем по договору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страхования профессиональной ответственности медицинских работников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признается факт наступления гражданско-правовой ответственности медицинских работников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за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причиненн</w:t>
            </w:r>
            <w:proofErr w:type="spellEnd"/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ый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вред здоровью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жизни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пациента, в результате осуществления медицинской деятельности.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. Страховой случай считается наступившим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если вред,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причиненн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ый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здоровью и жизни 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пациента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при оказании медицинской помощи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, явился следствием нарушения страхователем (застрахованным лицом) профессиональной деятельности медицинского работника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Порядок и иные условия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страхования профессиональной ответственности медицинских работников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определяются соглашением сторон на основании типового договора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>страхования профессиональной ответственности медицинских работников.</w:t>
            </w:r>
          </w:p>
        </w:tc>
        <w:tc>
          <w:tcPr>
            <w:tcW w:w="2431" w:type="dxa"/>
            <w:vMerge w:val="restart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целях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реализации гарантированных государством прав для пациентов, возмещения вреда и финансовой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, а также юридической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защиты субъектов здравоохранения и медицинских работников, 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предлагается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внедрение системы вмененного страхования профессиональной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ответственности медицинских работников. 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Данный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подход позволит повысить качество медицинской помощи, а также статус медицинских работников и в целом повлияет на рейтинг здравоохранения Республики Казахстан на международной арене. В результате риск причинения вреда жизни или здоровью пациента со стороны медицинского работника будет покрываться за счет страхования профессиональной ответственности (поставщиков медицинских услуг – медицинских организаций), которое будет гарантировать ответственность медицинского работника и соответствовать как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интересам пациентов, медицинских работников так и всего гражданского социума.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Статья </w:t>
            </w:r>
            <w:r w:rsidRPr="004C01FB">
              <w:rPr>
                <w:rFonts w:ascii="Times New Roman" w:hAnsi="Times New Roman"/>
                <w:color w:val="000000"/>
                <w:sz w:val="24"/>
                <w:szCs w:val="24"/>
              </w:rPr>
              <w:t>270-2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4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Статья 270-2.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Минимальные р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азмер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ы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страховых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премий (взносов) страхования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профессиональной ответственности медицинских работников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46"/>
              </w:tabs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lang w:val="kk-KZ"/>
              </w:rPr>
              <w:lastRenderedPageBreak/>
              <w:t>1. Минимальные р</w:t>
            </w:r>
            <w:proofErr w:type="spellStart"/>
            <w:r w:rsidRPr="004C01FB">
              <w:rPr>
                <w:rFonts w:ascii="Times New Roman" w:hAnsi="Times New Roman"/>
                <w:sz w:val="24"/>
              </w:rPr>
              <w:t>азмеры</w:t>
            </w:r>
            <w:proofErr w:type="spellEnd"/>
            <w:r w:rsidRPr="004C01FB">
              <w:rPr>
                <w:rFonts w:ascii="Times New Roman" w:hAnsi="Times New Roman"/>
                <w:sz w:val="24"/>
              </w:rPr>
              <w:t xml:space="preserve"> страховых </w:t>
            </w:r>
            <w:r w:rsidRPr="004C01FB">
              <w:rPr>
                <w:rFonts w:ascii="Times New Roman" w:hAnsi="Times New Roman"/>
                <w:sz w:val="24"/>
                <w:lang w:val="kk-KZ"/>
              </w:rPr>
              <w:t>премий (взносов) страхования</w:t>
            </w:r>
            <w:r w:rsidRPr="004C01FB">
              <w:rPr>
                <w:rFonts w:ascii="Times New Roman" w:hAnsi="Times New Roman"/>
                <w:sz w:val="24"/>
              </w:rPr>
              <w:t xml:space="preserve"> профессиональной ответственности </w:t>
            </w:r>
            <w:proofErr w:type="spellStart"/>
            <w:r w:rsidRPr="004C01FB">
              <w:rPr>
                <w:rFonts w:ascii="Times New Roman" w:hAnsi="Times New Roman"/>
                <w:sz w:val="24"/>
              </w:rPr>
              <w:t>медицинск</w:t>
            </w:r>
            <w:proofErr w:type="spellEnd"/>
            <w:r w:rsidRPr="004C01FB">
              <w:rPr>
                <w:rFonts w:ascii="Times New Roman" w:hAnsi="Times New Roman"/>
                <w:sz w:val="24"/>
                <w:lang w:val="kk-KZ"/>
              </w:rPr>
              <w:t>их</w:t>
            </w:r>
            <w:r w:rsidRPr="004C01FB">
              <w:rPr>
                <w:rFonts w:ascii="Times New Roman" w:hAnsi="Times New Roman"/>
                <w:sz w:val="24"/>
              </w:rPr>
              <w:t xml:space="preserve"> работников:</w:t>
            </w:r>
          </w:p>
          <w:tbl>
            <w:tblPr>
              <w:tblStyle w:val="11"/>
              <w:tblW w:w="4678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701"/>
              <w:gridCol w:w="1134"/>
              <w:gridCol w:w="1276"/>
            </w:tblGrid>
            <w:tr w:rsidR="004C01FB" w:rsidRPr="004C01FB" w:rsidTr="00C87695">
              <w:trPr>
                <w:trHeight w:val="675"/>
              </w:trPr>
              <w:tc>
                <w:tcPr>
                  <w:tcW w:w="567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№</w:t>
                  </w:r>
                </w:p>
              </w:tc>
              <w:tc>
                <w:tcPr>
                  <w:tcW w:w="1701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Профиль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Страховая ставка</w:t>
                  </w:r>
                </w:p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(вероятность)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  <w:lang w:val="kk-KZ"/>
                    </w:rPr>
                    <w:t>Минималь-ные р</w:t>
                  </w:r>
                  <w:proofErr w:type="spellStart"/>
                  <w:r w:rsidRPr="004C01FB">
                    <w:rPr>
                      <w:rFonts w:ascii="Times New Roman" w:hAnsi="Times New Roman"/>
                      <w:sz w:val="20"/>
                    </w:rPr>
                    <w:t>азмер</w:t>
                  </w:r>
                  <w:proofErr w:type="spellEnd"/>
                  <w:r w:rsidRPr="004C01FB">
                    <w:rPr>
                      <w:rFonts w:ascii="Times New Roman" w:hAnsi="Times New Roman"/>
                      <w:sz w:val="20"/>
                      <w:lang w:val="kk-KZ"/>
                    </w:rPr>
                    <w:t>ы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spellStart"/>
                  <w:r w:rsidRPr="004C01FB">
                    <w:rPr>
                      <w:rFonts w:ascii="Times New Roman" w:hAnsi="Times New Roman"/>
                      <w:sz w:val="20"/>
                    </w:rPr>
                    <w:t>страхово</w:t>
                  </w:r>
                  <w:proofErr w:type="spellEnd"/>
                  <w:r w:rsidRPr="004C01FB">
                    <w:rPr>
                      <w:rFonts w:ascii="Times New Roman" w:hAnsi="Times New Roman"/>
                      <w:sz w:val="20"/>
                      <w:lang w:val="kk-KZ"/>
                    </w:rPr>
                    <w:t>й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 xml:space="preserve"> премий </w:t>
                  </w:r>
                  <w:r w:rsidRPr="004C01FB">
                    <w:rPr>
                      <w:rFonts w:ascii="Times New Roman" w:hAnsi="Times New Roman"/>
                      <w:sz w:val="20"/>
                      <w:lang w:val="kk-KZ"/>
                    </w:rPr>
                    <w:t xml:space="preserve">(взноса) 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(МРП)</w:t>
                  </w:r>
                </w:p>
              </w:tc>
            </w:tr>
            <w:tr w:rsidR="004C01FB" w:rsidRPr="004C01FB" w:rsidTr="00C87695">
              <w:trPr>
                <w:trHeight w:val="316"/>
              </w:trPr>
              <w:tc>
                <w:tcPr>
                  <w:tcW w:w="567" w:type="dxa"/>
                  <w:vMerge w:val="restart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Хирургия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C01FB" w:rsidRPr="004C01FB" w:rsidTr="00C87695">
              <w:trPr>
                <w:trHeight w:val="264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9A2183" w:rsidP="004C01FB">
                  <w:pPr>
                    <w:numPr>
                      <w:ilvl w:val="0"/>
                      <w:numId w:val="16"/>
                    </w:numPr>
                    <w:tabs>
                      <w:tab w:val="left" w:pos="152"/>
                    </w:tabs>
                    <w:ind w:hanging="72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="004C01FB"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2,42 %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24,2</w:t>
                  </w:r>
                </w:p>
              </w:tc>
            </w:tr>
            <w:tr w:rsidR="004C01FB" w:rsidRPr="004C01FB" w:rsidTr="00C87695">
              <w:trPr>
                <w:trHeight w:val="269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9A2183" w:rsidP="004C01FB">
                  <w:pPr>
                    <w:numPr>
                      <w:ilvl w:val="0"/>
                      <w:numId w:val="16"/>
                    </w:numPr>
                    <w:tabs>
                      <w:tab w:val="left" w:pos="152"/>
                    </w:tabs>
                    <w:ind w:hanging="72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="004C01FB"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2,07 %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20,7</w:t>
                  </w:r>
                </w:p>
              </w:tc>
            </w:tr>
            <w:tr w:rsidR="004C01FB" w:rsidRPr="004C01FB" w:rsidTr="00C87695">
              <w:trPr>
                <w:trHeight w:val="260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9A2183" w:rsidP="004C01FB">
                  <w:pPr>
                    <w:numPr>
                      <w:ilvl w:val="0"/>
                      <w:numId w:val="16"/>
                    </w:numPr>
                    <w:tabs>
                      <w:tab w:val="left" w:pos="152"/>
                    </w:tabs>
                    <w:ind w:hanging="72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="004C01FB"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1,38 %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13,8</w:t>
                  </w:r>
                </w:p>
              </w:tc>
            </w:tr>
            <w:tr w:rsidR="004C01FB" w:rsidRPr="004C01FB" w:rsidTr="00C87695">
              <w:trPr>
                <w:trHeight w:val="277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9A2183" w:rsidP="004C01FB">
                  <w:pPr>
                    <w:numPr>
                      <w:ilvl w:val="0"/>
                      <w:numId w:val="16"/>
                    </w:numPr>
                    <w:tabs>
                      <w:tab w:val="left" w:pos="152"/>
                    </w:tabs>
                    <w:ind w:hanging="720"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="004C01FB"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0,69 %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6,9</w:t>
                  </w:r>
                </w:p>
              </w:tc>
            </w:tr>
            <w:tr w:rsidR="004C01FB" w:rsidRPr="004C01FB" w:rsidTr="00C87695">
              <w:trPr>
                <w:trHeight w:val="277"/>
              </w:trPr>
              <w:tc>
                <w:tcPr>
                  <w:tcW w:w="567" w:type="dxa"/>
                  <w:vMerge w:val="restart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Педиатрия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C01FB" w:rsidRPr="004C01FB" w:rsidTr="00C87695">
              <w:trPr>
                <w:trHeight w:val="277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1,25 %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12,5</w:t>
                  </w:r>
                </w:p>
              </w:tc>
            </w:tr>
            <w:tr w:rsidR="004C01FB" w:rsidRPr="004C01FB" w:rsidTr="00C87695">
              <w:trPr>
                <w:trHeight w:val="247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0,83 %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8,3</w:t>
                  </w:r>
                </w:p>
              </w:tc>
            </w:tr>
            <w:tr w:rsidR="004C01FB" w:rsidRPr="004C01FB" w:rsidTr="00C87695">
              <w:trPr>
                <w:trHeight w:val="231"/>
              </w:trPr>
              <w:tc>
                <w:tcPr>
                  <w:tcW w:w="567" w:type="dxa"/>
                  <w:vMerge w:val="restart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Терапия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C01FB" w:rsidRPr="004C01FB" w:rsidTr="00C87695">
              <w:trPr>
                <w:trHeight w:val="231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1,16 %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11,6</w:t>
                  </w:r>
                </w:p>
              </w:tc>
            </w:tr>
            <w:tr w:rsidR="004C01FB" w:rsidRPr="004C01FB" w:rsidTr="00C87695">
              <w:trPr>
                <w:trHeight w:val="231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0,77 %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7,7</w:t>
                  </w:r>
                </w:p>
              </w:tc>
            </w:tr>
            <w:tr w:rsidR="004C01FB" w:rsidRPr="004C01FB" w:rsidTr="00C87695">
              <w:trPr>
                <w:trHeight w:val="242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3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0,38 %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3,8</w:t>
                  </w:r>
                </w:p>
              </w:tc>
            </w:tr>
            <w:tr w:rsidR="004C01FB" w:rsidRPr="004C01FB" w:rsidTr="00C87695">
              <w:trPr>
                <w:trHeight w:val="231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4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0,19 %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1,9</w:t>
                  </w:r>
                </w:p>
              </w:tc>
            </w:tr>
            <w:tr w:rsidR="004C01FB" w:rsidRPr="004C01FB" w:rsidTr="00C87695">
              <w:trPr>
                <w:trHeight w:val="221"/>
              </w:trPr>
              <w:tc>
                <w:tcPr>
                  <w:tcW w:w="567" w:type="dxa"/>
                  <w:vMerge w:val="restart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Стоматология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C01FB" w:rsidRPr="004C01FB" w:rsidTr="00C87695">
              <w:trPr>
                <w:trHeight w:val="68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0,86 %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8,6</w:t>
                  </w:r>
                </w:p>
              </w:tc>
            </w:tr>
            <w:tr w:rsidR="004C01FB" w:rsidRPr="004C01FB" w:rsidTr="00C87695">
              <w:trPr>
                <w:trHeight w:val="453"/>
              </w:trPr>
              <w:tc>
                <w:tcPr>
                  <w:tcW w:w="567" w:type="dxa"/>
                  <w:vMerge w:val="restart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Акушерство и гинекология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C01FB" w:rsidRPr="004C01FB" w:rsidTr="00C87695">
              <w:trPr>
                <w:trHeight w:val="269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2,01 %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20,1</w:t>
                  </w:r>
                </w:p>
              </w:tc>
            </w:tr>
            <w:tr w:rsidR="004C01FB" w:rsidRPr="004C01FB" w:rsidTr="00C87695">
              <w:trPr>
                <w:trHeight w:val="675"/>
              </w:trPr>
              <w:tc>
                <w:tcPr>
                  <w:tcW w:w="567" w:type="dxa"/>
                  <w:vMerge w:val="restart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Средний медицинский персонал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4C01FB" w:rsidRPr="004C01FB" w:rsidTr="00C87695">
              <w:trPr>
                <w:trHeight w:val="165"/>
              </w:trPr>
              <w:tc>
                <w:tcPr>
                  <w:tcW w:w="567" w:type="dxa"/>
                  <w:vMerge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C01FB" w:rsidRPr="004C01FB" w:rsidRDefault="004C01FB" w:rsidP="009A2183">
                  <w:pPr>
                    <w:tabs>
                      <w:tab w:val="left" w:pos="595"/>
                    </w:tabs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</w:t>
                  </w:r>
                  <w:r w:rsidR="009A2183">
                    <w:rPr>
                      <w:rFonts w:ascii="Times New Roman" w:hAnsi="Times New Roman"/>
                      <w:sz w:val="20"/>
                      <w:lang w:val="kk-KZ"/>
                    </w:rPr>
                    <w:t>-</w:t>
                  </w:r>
                  <w:r w:rsidRPr="004C01FB">
                    <w:rPr>
                      <w:rFonts w:ascii="Times New Roman" w:hAnsi="Times New Roman"/>
                      <w:sz w:val="20"/>
                    </w:rPr>
                    <w:t>группа риска</w:t>
                  </w:r>
                </w:p>
              </w:tc>
              <w:tc>
                <w:tcPr>
                  <w:tcW w:w="1134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0,14 %</w:t>
                  </w:r>
                </w:p>
              </w:tc>
              <w:tc>
                <w:tcPr>
                  <w:tcW w:w="1276" w:type="dxa"/>
                </w:tcPr>
                <w:p w:rsidR="004C01FB" w:rsidRPr="004C01FB" w:rsidRDefault="004C01FB" w:rsidP="004C01FB">
                  <w:pPr>
                    <w:tabs>
                      <w:tab w:val="left" w:pos="595"/>
                    </w:tabs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01FB">
                    <w:rPr>
                      <w:rFonts w:ascii="Times New Roman" w:hAnsi="Times New Roman"/>
                      <w:sz w:val="20"/>
                    </w:rPr>
                    <w:t>1,4</w:t>
                  </w:r>
                </w:p>
              </w:tc>
            </w:tr>
          </w:tbl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Размер страховой суммы </w:t>
            </w:r>
            <w:r w:rsidRPr="004C01FB">
              <w:rPr>
                <w:rFonts w:ascii="Times New Roman" w:hAnsi="Times New Roman"/>
                <w:sz w:val="24"/>
              </w:rPr>
              <w:t xml:space="preserve">определяется его условиями договора </w:t>
            </w:r>
            <w:r w:rsidRPr="004C01FB">
              <w:rPr>
                <w:rFonts w:ascii="Times New Roman" w:hAnsi="Times New Roman"/>
                <w:sz w:val="24"/>
                <w:lang w:val="kk-KZ"/>
              </w:rPr>
              <w:t>страхования</w:t>
            </w:r>
            <w:r w:rsidRPr="004C01FB">
              <w:rPr>
                <w:rFonts w:ascii="Times New Roman" w:hAnsi="Times New Roman"/>
                <w:sz w:val="24"/>
              </w:rPr>
              <w:t xml:space="preserve"> профессиональной ответственности </w:t>
            </w:r>
            <w:proofErr w:type="spellStart"/>
            <w:r w:rsidRPr="004C01FB">
              <w:rPr>
                <w:rFonts w:ascii="Times New Roman" w:hAnsi="Times New Roman"/>
                <w:sz w:val="24"/>
              </w:rPr>
              <w:t>медицинск</w:t>
            </w:r>
            <w:proofErr w:type="spellEnd"/>
            <w:r w:rsidRPr="004C01FB">
              <w:rPr>
                <w:rFonts w:ascii="Times New Roman" w:hAnsi="Times New Roman"/>
                <w:sz w:val="24"/>
                <w:lang w:val="kk-KZ"/>
              </w:rPr>
              <w:t>их</w:t>
            </w:r>
            <w:r w:rsidRPr="004C01FB">
              <w:rPr>
                <w:rFonts w:ascii="Times New Roman" w:hAnsi="Times New Roman"/>
                <w:sz w:val="24"/>
              </w:rPr>
              <w:t xml:space="preserve"> работников</w:t>
            </w:r>
            <w:r w:rsidRPr="004C01FB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 Взносы за страхование профессиональной ответственности осуществляется в равной доле между субъектом здравоохранения и медицинским работником.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31" w:type="dxa"/>
            <w:vMerge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Новый пункт 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3-1 статьи 272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272. Социальные гарантии. Социальная защита медицинских и фармацевтических работников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3-1. Отсутствует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272. Социальные гарантии. Социальная защита медицинских и фармацевтических работников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595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3-1 Уполномоченным органом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победител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ям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республиканского конкурса «Лучший </w:t>
            </w:r>
            <w:r w:rsidR="009A218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профессии» предоставляется единовременная стимулирующая выплата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каждому номинанту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в размере 500-кратного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      </w:r>
          </w:p>
          <w:p w:rsidR="004C01FB" w:rsidRPr="004C01FB" w:rsidRDefault="004C01FB" w:rsidP="009A2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Правила присвоения званий «Лучший </w:t>
            </w:r>
            <w:r w:rsidR="009A218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профессии», разрабатываются и утверждаются уполномоченным органом.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В целях повышения привлекательности отрасли, улучшения кадрового обеспечения, материального стимулирования специалистов здравоохранения необходимо принятие мер по повышению статуса медработников в обществе и решению вопроса дефицита квалифицированных медицинских кадров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Новый пункт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3-2  статьи 272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272. Социальные гарантии. Социальная защита медицинских и фармацевтических работников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3-2. Отсутствует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272. Социальные гарантии. Социальная защита медицинских и фармацевтических работников</w:t>
            </w: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tabs>
                <w:tab w:val="left" w:pos="595"/>
              </w:tabs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5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3-2. За выдающиеся достижения и особые заслуги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медицинскиого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работника перед Республикой Казахстан ему присваивается почетное звание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дәрігері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» (Заслуженный врач Казахстана) с предоставлением единовременной выплаты в размере 1000-кратного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месячного расчетного показателя, установленного законом о республиканском бюджете на соответствующий финансовый год.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повышения привлекательности отрасли, улучшения кадрового обеспечения, материального стимулирования специалистов здравоохранения необходимо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принятие мер по повышению статуса медработников в обществе и решению вопроса дефицита квалифицированных медицинских кадров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Статья 276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276. Порядок введения в действие настоящего Кодекса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:rsidR="004C01FB" w:rsidRPr="004C01FB" w:rsidRDefault="004C01FB" w:rsidP="004C01FB">
            <w:pPr>
              <w:numPr>
                <w:ilvl w:val="1"/>
                <w:numId w:val="1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Статья 276. Порядок введения в действие настоящего Кодекса</w:t>
            </w:r>
          </w:p>
          <w:p w:rsidR="004C01FB" w:rsidRPr="004C01FB" w:rsidRDefault="004C01FB" w:rsidP="004C01F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4C01FB" w:rsidRPr="004C01FB" w:rsidRDefault="004C01FB" w:rsidP="004C01F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4-1. Приостановить до 1 января 2025 года действие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пункта 3 статьи 270-2 настоящего Кодекса, установив, что в период приостановления данный пункт действует в следующей редакции: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«3. Страхование профессиональной ответственности медицинских работников осуществляется за счет субъекта здравоохранения.».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С целью уточнения сроков введения в действие пунктов 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статьи 270-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01FB" w:rsidRPr="004C01FB" w:rsidTr="004C01FB">
        <w:tc>
          <w:tcPr>
            <w:tcW w:w="14900" w:type="dxa"/>
            <w:gridSpan w:val="5"/>
            <w:shd w:val="clear" w:color="auto" w:fill="auto"/>
          </w:tcPr>
          <w:p w:rsidR="004C01FB" w:rsidRPr="004C01FB" w:rsidRDefault="004C01FB" w:rsidP="004C01FB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. Закон Республики Казахстан «О государственных наградах Республики Казахстан»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Статья 24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24. В Республике Казахстан устанавливаются следующие почетные звания: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қайраткері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(Заслуженный деятель Казахстана);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ұстазы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ғарышкер-ұшқышы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(Летчик-космонавт Казахстана).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Лица, удостоенные почетного звания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ғарышкер-ұшқышы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имеют право на получение специального государственного пособия в размере, установленном законодательством Республики Казахстан.</w:t>
            </w:r>
          </w:p>
          <w:p w:rsidR="004C01FB" w:rsidRPr="004C01FB" w:rsidRDefault="004C01FB" w:rsidP="004C01FB">
            <w:pPr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Педагоги, удостоенные почетного звания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ұстазы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», получают единовременную выплату в размере, установленном Законом Республики Казахстан «О статусе педагога».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Статья 24. В Республике Казахстан устанавливаются следующие почетные звания: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қайраткері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(Заслуженный деятель Казахстана);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ұстазы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дәрігері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ғарышкер-ұшқышы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(Летчик-космонавт Казахстана).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Лица, удостоенные почетного звания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ғарышкер-ұшқышы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», имеют право на получение специального государственного пособия в размере, установленном законодательством Республики Казахстан.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Педагоги, удостоенные почетного звания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ұстазы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», получают единовременную выплату в размере, установленном Законом Республики Казахстан «О статусе педагога».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Медицинские работники, удостоенные почетного звания «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дәрігері</w:t>
            </w:r>
            <w:proofErr w:type="spellEnd"/>
            <w:r w:rsidRPr="004C01FB">
              <w:rPr>
                <w:rFonts w:ascii="Times New Roman" w:hAnsi="Times New Roman"/>
                <w:b/>
                <w:sz w:val="24"/>
                <w:szCs w:val="24"/>
              </w:rPr>
              <w:t xml:space="preserve">», получают единовременную выплату в размере, установленном </w:t>
            </w:r>
            <w:hyperlink r:id="rId9" w:anchor="z0" w:history="1">
              <w:r w:rsidRPr="004C01FB">
                <w:rPr>
                  <w:rFonts w:ascii="Times New Roman" w:hAnsi="Times New Roman"/>
                  <w:b/>
                  <w:sz w:val="24"/>
                  <w:szCs w:val="24"/>
                </w:rPr>
                <w:t>Кодекс</w:t>
              </w:r>
            </w:hyperlink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ом Республики Казахстан «О здоровье народа и системе здравоохранения».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целях стимулирования медицинских работников, за успешное и длительное пребывание, верность и преданность выбранной профессии, повышения престижа и статуса медицинских </w:t>
            </w:r>
            <w:r w:rsidRPr="004C01F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работников, предлагается предусмотреть ежегодное присвоение звания «Заслуженный врач Казахстана» с единовременной стимулирующей выплатой.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1</w:t>
            </w: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татья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25. Почетные звания Республики Казахстан присваиваются: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сiңiрген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қайраткерi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- видным государственным и общественным деятелям, представителям науки, культуры, искусства, производства и социальной сферы за большие заслуги перед республикой;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ұстазы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– педагогам за выдающиеся достижения и особые заслуги перед Республикой Казахстан;</w:t>
            </w:r>
          </w:p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ғарышкер-ұшқышы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- гражданам, успешно осуществившим заданную программу космического полета, образцово выполнившим поставленные перед ними научно-технические, исследовательские и практические задачи.</w:t>
            </w:r>
          </w:p>
          <w:p w:rsidR="004C01FB" w:rsidRPr="004C01FB" w:rsidRDefault="004C01FB" w:rsidP="004C01FB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отсутствует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Статья 25. Почетные звания Республики Казахстан присваиваются: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сiңiрген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қайраткерi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- видным государственным и общественным деятелям, представителям науки, культуры, искусства, производства и социальной сферы за большие заслуги перед республикой;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ұстазы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 – педагогам за выдающиеся достижения и особые заслуги перед Республикой Казахстан;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ғарышкер-ұшқышы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» - гражданам, успешно осуществившим заданную программу космического полета, образцово выполнившим поставленные перед ними научно-технические, исследовательские и практические задачи; </w:t>
            </w: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01FB" w:rsidRPr="004C01FB" w:rsidRDefault="004C01FB" w:rsidP="004C01FB">
            <w:pPr>
              <w:tabs>
                <w:tab w:val="left" w:pos="654"/>
              </w:tabs>
              <w:ind w:firstLine="46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01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Қазақстанның еңбек сіңірген дәрігері» - медицинским работникам за выдающиеся достижения и особые заслуги перед Республикой Казахстан в области здравоохранения.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1FB">
              <w:rPr>
                <w:rFonts w:ascii="Times New Roman" w:hAnsi="Times New Roman"/>
                <w:sz w:val="24"/>
                <w:szCs w:val="24"/>
              </w:rPr>
              <w:t>Уточнение в связи с введением почетного звания «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Қазақстанның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еңбек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сіңірген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1FB">
              <w:rPr>
                <w:rFonts w:ascii="Times New Roman" w:hAnsi="Times New Roman"/>
                <w:sz w:val="24"/>
                <w:szCs w:val="24"/>
              </w:rPr>
              <w:t>дәрігері</w:t>
            </w:r>
            <w:proofErr w:type="spellEnd"/>
            <w:r w:rsidRPr="004C01F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C01FB" w:rsidRPr="004C01FB" w:rsidTr="004C01FB">
        <w:tc>
          <w:tcPr>
            <w:tcW w:w="14900" w:type="dxa"/>
            <w:gridSpan w:val="5"/>
            <w:shd w:val="clear" w:color="auto" w:fill="auto"/>
          </w:tcPr>
          <w:p w:rsidR="004C01FB" w:rsidRPr="004C01FB" w:rsidRDefault="004C01FB" w:rsidP="004C01FB">
            <w:pPr>
              <w:ind w:firstLine="45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Статья 2 проекта</w:t>
            </w:r>
          </w:p>
        </w:tc>
      </w:tr>
      <w:tr w:rsidR="004C01FB" w:rsidRPr="004C01FB" w:rsidTr="004C01FB">
        <w:tc>
          <w:tcPr>
            <w:tcW w:w="55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35" w:type="dxa"/>
          </w:tcPr>
          <w:p w:rsidR="004C01FB" w:rsidRPr="004C01FB" w:rsidRDefault="004C01FB" w:rsidP="004C01F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Статья 2</w:t>
            </w:r>
          </w:p>
        </w:tc>
        <w:tc>
          <w:tcPr>
            <w:tcW w:w="4551" w:type="dxa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Отсутствует</w:t>
            </w:r>
          </w:p>
        </w:tc>
        <w:tc>
          <w:tcPr>
            <w:tcW w:w="5528" w:type="dxa"/>
            <w:shd w:val="clear" w:color="auto" w:fill="auto"/>
          </w:tcPr>
          <w:p w:rsidR="004C01FB" w:rsidRPr="004C01FB" w:rsidRDefault="004C01FB" w:rsidP="004C01FB">
            <w:pPr>
              <w:tabs>
                <w:tab w:val="left" w:pos="654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Статья 2. Настоящий Закон вводится в действие по истечении шестидесяти календарных дней после дня его первого официального опубликования.</w:t>
            </w:r>
          </w:p>
        </w:tc>
        <w:tc>
          <w:tcPr>
            <w:tcW w:w="2431" w:type="dxa"/>
            <w:shd w:val="clear" w:color="auto" w:fill="auto"/>
          </w:tcPr>
          <w:p w:rsidR="004C01FB" w:rsidRPr="004C01FB" w:rsidRDefault="004C01FB" w:rsidP="004C01F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C01FB">
              <w:rPr>
                <w:rFonts w:ascii="Times New Roman" w:hAnsi="Times New Roman"/>
                <w:sz w:val="24"/>
                <w:szCs w:val="24"/>
                <w:lang w:val="kk-KZ"/>
              </w:rPr>
              <w:t>Во исполнения пункта 4-1 статьи 42 Закона «О правовых актах» сроки введения в действие законов или их отдельных норм, которыми устанавливаются новые обязанности субъектов регулирования, за исключением государственных органов и организации, определяются исходя из сроков, необходмых для подготовки к исполнению обязанностей, и не могут быть менее шестидесяти календарных дней после дня их первого официального опубликования.</w:t>
            </w:r>
          </w:p>
        </w:tc>
      </w:tr>
    </w:tbl>
    <w:p w:rsidR="00C919CA" w:rsidRDefault="00C919CA" w:rsidP="004C0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1FB" w:rsidRPr="004C01FB" w:rsidRDefault="004C01FB" w:rsidP="004C0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1FB">
        <w:rPr>
          <w:rFonts w:ascii="Times New Roman" w:hAnsi="Times New Roman" w:cs="Times New Roman"/>
          <w:b/>
          <w:sz w:val="28"/>
          <w:szCs w:val="28"/>
        </w:rPr>
        <w:t>Министр здравоохранения</w:t>
      </w:r>
    </w:p>
    <w:p w:rsidR="004C01FB" w:rsidRPr="004C01FB" w:rsidRDefault="004C01FB" w:rsidP="00C91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1FB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Pr="004C01FB">
        <w:rPr>
          <w:rFonts w:ascii="Times New Roman" w:hAnsi="Times New Roman" w:cs="Times New Roman"/>
          <w:b/>
          <w:sz w:val="28"/>
          <w:szCs w:val="28"/>
        </w:rPr>
        <w:tab/>
      </w:r>
      <w:r w:rsidR="009A21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Pr="004C01FB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4C01FB">
        <w:rPr>
          <w:rFonts w:ascii="Times New Roman" w:hAnsi="Times New Roman" w:cs="Times New Roman"/>
          <w:b/>
          <w:sz w:val="28"/>
          <w:szCs w:val="28"/>
        </w:rPr>
        <w:t>Гиният</w:t>
      </w:r>
      <w:proofErr w:type="spellEnd"/>
    </w:p>
    <w:sectPr w:rsidR="004C01FB" w:rsidRPr="004C01FB">
      <w:headerReference w:type="default" r:id="rId10"/>
      <w:footerReference w:type="default" r:id="rId11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9E" w:rsidRDefault="00475E9E" w:rsidP="004C01FB">
      <w:pPr>
        <w:spacing w:after="0" w:line="240" w:lineRule="auto"/>
      </w:pPr>
      <w:r>
        <w:separator/>
      </w:r>
    </w:p>
  </w:endnote>
  <w:endnote w:type="continuationSeparator" w:id="0">
    <w:p w:rsidR="00475E9E" w:rsidRDefault="00475E9E" w:rsidP="004C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AF5" w:rsidRDefault="00C11AF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9E" w:rsidRDefault="00475E9E" w:rsidP="004C01FB">
      <w:pPr>
        <w:spacing w:after="0" w:line="240" w:lineRule="auto"/>
      </w:pPr>
      <w:r>
        <w:separator/>
      </w:r>
    </w:p>
  </w:footnote>
  <w:footnote w:type="continuationSeparator" w:id="0">
    <w:p w:rsidR="00475E9E" w:rsidRDefault="00475E9E" w:rsidP="004C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951158"/>
      <w:docPartObj>
        <w:docPartGallery w:val="Page Numbers (Top of Page)"/>
        <w:docPartUnique/>
      </w:docPartObj>
    </w:sdtPr>
    <w:sdtEndPr/>
    <w:sdtContent>
      <w:p w:rsidR="00C11AF5" w:rsidRDefault="00C11A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B72">
          <w:rPr>
            <w:noProof/>
          </w:rPr>
          <w:t>17</w:t>
        </w:r>
        <w:r>
          <w:fldChar w:fldCharType="end"/>
        </w:r>
      </w:p>
    </w:sdtContent>
  </w:sdt>
  <w:p w:rsidR="00C11AF5" w:rsidRDefault="00C11A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C5E99AE"/>
    <w:lvl w:ilvl="0" w:tplc="6B7030E0">
      <w:start w:val="1"/>
      <w:numFmt w:val="decimal"/>
      <w:lvlText w:val="%1."/>
      <w:lvlJc w:val="left"/>
      <w:pPr>
        <w:ind w:left="6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000002"/>
    <w:multiLevelType w:val="hybridMultilevel"/>
    <w:tmpl w:val="6A4A0CA2"/>
    <w:lvl w:ilvl="0" w:tplc="0D3C05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B81EF79E"/>
    <w:lvl w:ilvl="0" w:tplc="D264BF92">
      <w:start w:val="1"/>
      <w:numFmt w:val="decimal"/>
      <w:suff w:val="space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00000004"/>
    <w:multiLevelType w:val="hybridMultilevel"/>
    <w:tmpl w:val="9DA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F1AB666"/>
    <w:lvl w:ilvl="0" w:tplc="E0FE1DC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AECC38C"/>
    <w:lvl w:ilvl="0" w:tplc="8668E5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4FE4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CF1AB666"/>
    <w:lvl w:ilvl="0" w:tplc="E0FE1DC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CF1AB666"/>
    <w:lvl w:ilvl="0" w:tplc="E0FE1DC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8C225D1E"/>
    <w:lvl w:ilvl="0" w:tplc="507654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0000000B"/>
    <w:multiLevelType w:val="hybridMultilevel"/>
    <w:tmpl w:val="C456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B81EF79E"/>
    <w:lvl w:ilvl="0" w:tplc="D264BF92">
      <w:start w:val="1"/>
      <w:numFmt w:val="decimal"/>
      <w:suff w:val="space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1C70BBD"/>
    <w:multiLevelType w:val="hybridMultilevel"/>
    <w:tmpl w:val="E0A80ADA"/>
    <w:lvl w:ilvl="0" w:tplc="EA88E2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58A46DF"/>
    <w:multiLevelType w:val="hybridMultilevel"/>
    <w:tmpl w:val="E348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00426"/>
    <w:multiLevelType w:val="multilevel"/>
    <w:tmpl w:val="CF6C1ABE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5FAE6FF1"/>
    <w:multiLevelType w:val="hybridMultilevel"/>
    <w:tmpl w:val="CF1AB666"/>
    <w:lvl w:ilvl="0" w:tplc="E0FE1DC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E1A34"/>
    <w:multiLevelType w:val="hybridMultilevel"/>
    <w:tmpl w:val="CF1AB666"/>
    <w:lvl w:ilvl="0" w:tplc="E0FE1DC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1F"/>
    <w:rsid w:val="000618FD"/>
    <w:rsid w:val="000E5F84"/>
    <w:rsid w:val="00141585"/>
    <w:rsid w:val="00143EE3"/>
    <w:rsid w:val="00177E44"/>
    <w:rsid w:val="00297A93"/>
    <w:rsid w:val="002C6B72"/>
    <w:rsid w:val="002D117A"/>
    <w:rsid w:val="002F4414"/>
    <w:rsid w:val="003E2E89"/>
    <w:rsid w:val="00416132"/>
    <w:rsid w:val="00470238"/>
    <w:rsid w:val="00475E9E"/>
    <w:rsid w:val="004C01FB"/>
    <w:rsid w:val="005038CE"/>
    <w:rsid w:val="00510BC2"/>
    <w:rsid w:val="00511F9A"/>
    <w:rsid w:val="00520E89"/>
    <w:rsid w:val="00535D11"/>
    <w:rsid w:val="00536F62"/>
    <w:rsid w:val="0054451F"/>
    <w:rsid w:val="005474D1"/>
    <w:rsid w:val="005601DF"/>
    <w:rsid w:val="005618C5"/>
    <w:rsid w:val="005C3F16"/>
    <w:rsid w:val="00683BC9"/>
    <w:rsid w:val="006A6129"/>
    <w:rsid w:val="00742B7F"/>
    <w:rsid w:val="0074407F"/>
    <w:rsid w:val="00774496"/>
    <w:rsid w:val="007D1540"/>
    <w:rsid w:val="007F1C88"/>
    <w:rsid w:val="008B2974"/>
    <w:rsid w:val="008E1920"/>
    <w:rsid w:val="008E6D88"/>
    <w:rsid w:val="008F5FBE"/>
    <w:rsid w:val="00993AD7"/>
    <w:rsid w:val="009A2183"/>
    <w:rsid w:val="009A30F5"/>
    <w:rsid w:val="009B3262"/>
    <w:rsid w:val="00A56712"/>
    <w:rsid w:val="00A863EA"/>
    <w:rsid w:val="00AD28CB"/>
    <w:rsid w:val="00B05AAF"/>
    <w:rsid w:val="00C060A0"/>
    <w:rsid w:val="00C11AF5"/>
    <w:rsid w:val="00C27671"/>
    <w:rsid w:val="00C31DA7"/>
    <w:rsid w:val="00C34148"/>
    <w:rsid w:val="00C6144F"/>
    <w:rsid w:val="00C64241"/>
    <w:rsid w:val="00C919CA"/>
    <w:rsid w:val="00DA54D3"/>
    <w:rsid w:val="00DB1AFD"/>
    <w:rsid w:val="00EB7A41"/>
    <w:rsid w:val="00EC3166"/>
    <w:rsid w:val="00EF08C2"/>
    <w:rsid w:val="00F07B35"/>
    <w:rsid w:val="00F17019"/>
    <w:rsid w:val="00F17294"/>
    <w:rsid w:val="00FA4A2C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406C2-5E5B-4303-9EEA-7BA48E0E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color w:val="2E74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link w:val="a4"/>
    <w:uiPriority w:val="1"/>
  </w:style>
  <w:style w:type="paragraph" w:styleId="a4">
    <w:name w:val="No Spacing"/>
    <w:link w:val="a3"/>
    <w:uiPriority w:val="1"/>
    <w:qFormat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character" w:customStyle="1" w:styleId="a6">
    <w:name w:val="Абзац списка Знак"/>
    <w:link w:val="a5"/>
    <w:uiPriority w:val="34"/>
  </w:style>
  <w:style w:type="character" w:customStyle="1" w:styleId="s0">
    <w:name w:val="s0"/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</w:style>
  <w:style w:type="character" w:styleId="ac">
    <w:name w:val="Hyperlink"/>
    <w:basedOn w:val="a0"/>
    <w:uiPriority w:val="99"/>
    <w:rPr>
      <w:color w:val="0000FF"/>
      <w:u w:val="single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customStyle="1" w:styleId="11">
    <w:name w:val="Сетка таблицы1"/>
    <w:basedOn w:val="a1"/>
    <w:next w:val="aa"/>
    <w:uiPriority w:val="39"/>
    <w:rsid w:val="004C01F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90000193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090000193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3C68-4A7B-4F75-8E0E-CC076428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Абдрахманов Багдат</cp:lastModifiedBy>
  <cp:revision>3</cp:revision>
  <cp:lastPrinted>2022-04-28T06:42:00Z</cp:lastPrinted>
  <dcterms:created xsi:type="dcterms:W3CDTF">2022-06-24T13:56:00Z</dcterms:created>
  <dcterms:modified xsi:type="dcterms:W3CDTF">2022-08-15T08:30:00Z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ae084c6527a443ddb1ec159c8e21724b</vt:lpwstr>
  </property>
</Properties>
</file>