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Депутатский запрос Конурова А.О.</w:t>
      </w:r>
    </w:p>
    <w:p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Премьер-министру Республики Казахстан Мамину А.У.</w:t>
      </w:r>
    </w:p>
    <w:p>
      <w:pPr>
        <w:pStyle w:val="a6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Аскар Узакпаевич!</w:t>
      </w:r>
    </w:p>
    <w:p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 обеспечения населения продовольствием является ключевым фактором социальной стабильности, важным условием обеспечения устойчивого развития и экономического роста страны. 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Фракция «Народные коммунисты» отмечает, что в октябре 2020 года произошло значительное подорожание продуктов питания на 10,7%. Рекордный рост показали цены на яйцо – 18.8%, отмечается стабильный тренд по удорожанию казахстанского мяса птицы.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понимаем, что ограничительные меры Правительства в связи с пандемией COVID-19 и обострение эпизоотической ситуации с птичьим гриппом внесли свой вклад в рост цен на продовольствие и обращаем внимание на ряд системных проблем в птицеводстве, без решения которых социально значимые продукты становятся значительно дороже. </w:t>
      </w:r>
    </w:p>
    <w:p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Состоялось полное уничтожение системы племенной и селекционной работы. В настоящее время в Казахстане промышленное производство продукции птицеводства зависит от поставки племенного материала извне, комплектование товарного поголовья осуществляется птицей зарубежных кроссов. Закупается исходный материал за границей, доводится до определённой кондиции и выставляется на рынок. Развитие сельскохозяйственного производства пошло по аналогу «отвёрточной» в промышленности. Сформировалась высокая зависимость отечественных сельхозпроизводителей от зарубежных партнеров. По существу, мы финансируем развитие селекционно - племенной работы стран поставщиков.</w:t>
      </w:r>
    </w:p>
    <w:p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 xml:space="preserve">Нарушен принцип свободного продвижения товаров и услуг из-за закрытия границ по причине пандемии. Отмечается сбой поставок исходного материала даже в существующей несовершенной схеме. Это несет серьезные риски воспроизводства для отрасли. </w:t>
      </w:r>
    </w:p>
    <w:p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 xml:space="preserve">Отмечается высокая стоимость валютных затрат на племенной материал (ежегодный закуп на 10-12 млн. долларов США). Кроме того, отрасль несет затраты на приобретение дорогостоящих кормовых добавок и вакцин, которые обязательны при закупке основного товара. Это все негативно влияет на себестоимость яиц и мяса птицы, разгоняет инфляционные процессы. </w:t>
      </w:r>
    </w:p>
    <w:p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 xml:space="preserve">Производится бессистемный завоз неиспытанного племенного материала. На фоне ежегодного ухудшения во всем мире ветеринарно-эпизоотической ситуации, это несет высокую вероятность завоза опасных инфекционных болезней. Серьёзным сигналом стало массовое распространение «птичьего гриппа» в Казахстане осенью этого года.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сожалению, не принесли ожидаемых результатов принятия Правил по инвестиционному субсидированию с целью создания племенной базы в республике. Прошло более 3 лет, но ни отечественный бизнес, ни зарубежные инвесторы не проявляют интереса к этому вопросу.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Фракция «Народные коммунисты» считает необходимым: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Признать важность племенной работы для непрерывного развития птицеводства и пересмотреть существующие Правила субсидирования с целью повышения их эффективности для отрасли.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Увеличить долю возмещения при строительстве и расширении племенных репродукторов для птицеводства государством до 80%.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условия для разработки эффективных методов селекции в отрасли, современных программ для получения высокопродуктивных отечественных кроссов кур.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рассмотреть депутатский запрос и о принятых мерах предоставить ответ в письменной форме в порядке, предусмотренном действующим законодательством Республики Казахстан.</w:t>
      </w:r>
    </w:p>
    <w:p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6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Депутаты фракции</w:t>
      </w:r>
    </w:p>
    <w:p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«Народные коммунисты»: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А. Конуров</w:t>
      </w:r>
    </w:p>
    <w:p>
      <w:pPr>
        <w:spacing w:after="0" w:line="240" w:lineRule="auto"/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Ж. Ахметбеков</w:t>
      </w:r>
    </w:p>
    <w:p>
      <w:pPr>
        <w:pStyle w:val="a6"/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Г. Баймаханова</w:t>
      </w:r>
    </w:p>
    <w:p>
      <w:pPr>
        <w:spacing w:after="0" w:line="240" w:lineRule="auto"/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В. Косарев</w:t>
      </w:r>
    </w:p>
    <w:p>
      <w:pPr>
        <w:tabs>
          <w:tab w:val="left" w:pos="7371"/>
          <w:tab w:val="left" w:pos="7513"/>
          <w:tab w:val="left" w:pos="765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М. Магеррамов </w:t>
      </w:r>
    </w:p>
    <w:p>
      <w:pPr>
        <w:spacing w:after="0" w:line="240" w:lineRule="auto"/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И. Смирнова </w:t>
      </w:r>
    </w:p>
    <w:p>
      <w:pPr>
        <w:spacing w:after="0" w:line="240" w:lineRule="auto"/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Т. Сыздыков</w:t>
      </w:r>
    </w:p>
    <w:p>
      <w:pPr>
        <w:spacing w:after="0"/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>
      <w:pPr>
        <w:spacing w:after="0"/>
        <w:rPr>
          <w:rFonts w:ascii="Times New Roman" w:hAnsi="Times New Roman" w:cs="Times New Roman"/>
          <w:sz w:val="18"/>
          <w:szCs w:val="18"/>
        </w:rPr>
      </w:pPr>
    </w:p>
    <w:p>
      <w:pPr>
        <w:spacing w:after="0"/>
        <w:rPr>
          <w:rFonts w:ascii="Times New Roman" w:hAnsi="Times New Roman" w:cs="Times New Roman"/>
          <w:sz w:val="18"/>
          <w:szCs w:val="18"/>
        </w:rPr>
      </w:pPr>
    </w:p>
    <w:p>
      <w:pPr>
        <w:spacing w:after="0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</w:rPr>
        <w:t>Исп. Б.Жусупов</w:t>
      </w:r>
    </w:p>
    <w:p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тел: 74-67-67</w:t>
      </w:r>
    </w:p>
    <w:p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>
      <w:headerReference w:type="even" r:id="rId8"/>
      <w:pgSz w:w="11906" w:h="16838"/>
      <w:pgMar w:top="851" w:right="84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4425821"/>
      <w:docPartObj>
        <w:docPartGallery w:val="Page Numbers (Top of Page)"/>
        <w:docPartUnique/>
      </w:docPartObj>
    </w:sdtPr>
    <w:sdtContent>
      <w:p>
        <w:pPr>
          <w:pStyle w:val="a7"/>
          <w:jc w:val="center"/>
        </w:pPr>
        <w:r>
          <w:t>2</w:t>
        </w:r>
      </w:p>
    </w:sdtContent>
  </w:sdt>
  <w:p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750FD"/>
    <w:multiLevelType w:val="hybridMultilevel"/>
    <w:tmpl w:val="68447788"/>
    <w:lvl w:ilvl="0" w:tplc="40E4EC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2A685A"/>
    <w:multiLevelType w:val="hybridMultilevel"/>
    <w:tmpl w:val="4D50889A"/>
    <w:lvl w:ilvl="0" w:tplc="5086A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DB16CB"/>
    <w:multiLevelType w:val="hybridMultilevel"/>
    <w:tmpl w:val="BBA8D056"/>
    <w:lvl w:ilvl="0" w:tplc="EC3084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E19EC6-4EB1-46D0-8D94-FE068855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EDB83-3AEC-4127-9B59-495D33B1C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Макенбаева Динара</dc:creator>
  <cp:lastModifiedBy>Бапакова Сауле</cp:lastModifiedBy>
  <cp:revision>5</cp:revision>
  <cp:lastPrinted>2020-01-15T07:21:00Z</cp:lastPrinted>
  <dcterms:created xsi:type="dcterms:W3CDTF">2020-11-04T05:48:00Z</dcterms:created>
  <dcterms:modified xsi:type="dcterms:W3CDTF">2020-11-04T06:41:00Z</dcterms:modified>
</cp:coreProperties>
</file>