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33" w:rsidRDefault="00416C33" w:rsidP="00416C33">
      <w:bookmarkStart w:id="0" w:name="_GoBack"/>
      <w:bookmarkEnd w:id="0"/>
    </w:p>
    <w:p w:rsidR="00723B54" w:rsidRDefault="00723B54" w:rsidP="00723B5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723B54" w:rsidRDefault="00723B54" w:rsidP="00723B5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B00A62" w:rsidRDefault="00B00A62" w:rsidP="00B00A62">
      <w:pPr>
        <w:spacing w:after="0" w:line="240" w:lineRule="auto"/>
        <w:ind w:left="5664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B313D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Қазақстан Республикасы</w:t>
      </w:r>
    </w:p>
    <w:p w:rsidR="00B00A62" w:rsidRDefault="00B00A62" w:rsidP="00B00A62">
      <w:pPr>
        <w:spacing w:after="0" w:line="240" w:lineRule="auto"/>
        <w:ind w:left="5664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72370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Парламенті Мәжілісінің</w:t>
      </w:r>
    </w:p>
    <w:p w:rsidR="00B00A62" w:rsidRDefault="00B00A62" w:rsidP="00B00A62">
      <w:pPr>
        <w:spacing w:after="0" w:line="240" w:lineRule="auto"/>
        <w:ind w:left="5664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«AMANAT» партиясы</w:t>
      </w:r>
    </w:p>
    <w:p w:rsidR="00B00A62" w:rsidRDefault="00B00A62" w:rsidP="00B00A62">
      <w:pPr>
        <w:spacing w:after="0" w:line="240" w:lineRule="auto"/>
        <w:ind w:left="5664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фракциясының </w:t>
      </w:r>
      <w:r w:rsidRPr="0072370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депутаттары</w:t>
      </w:r>
    </w:p>
    <w:p w:rsidR="00B00A62" w:rsidRDefault="00B00A62" w:rsidP="00B00A62">
      <w:pPr>
        <w:spacing w:after="0" w:line="240" w:lineRule="auto"/>
        <w:ind w:left="5664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Қ.Р. Балабиевке,</w:t>
      </w:r>
    </w:p>
    <w:p w:rsidR="00B00A62" w:rsidRPr="00B313DB" w:rsidRDefault="00B00A62" w:rsidP="00B00A62">
      <w:pPr>
        <w:spacing w:after="0" w:line="240" w:lineRule="auto"/>
        <w:ind w:left="5664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72370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.Т. Әбдиевке</w:t>
      </w:r>
    </w:p>
    <w:p w:rsidR="00B00A62" w:rsidRDefault="00B00A62" w:rsidP="00B00A6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kk-KZ" w:eastAsia="ru-RU"/>
        </w:rPr>
      </w:pPr>
    </w:p>
    <w:p w:rsidR="00B00A62" w:rsidRPr="00C54A2E" w:rsidRDefault="00B00A62" w:rsidP="00B00A6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8"/>
          <w:lang w:val="kk-KZ" w:eastAsia="ru-RU"/>
        </w:rPr>
      </w:pPr>
      <w:r w:rsidRPr="00C54A2E">
        <w:rPr>
          <w:rFonts w:ascii="Times New Roman" w:eastAsia="Times New Roman" w:hAnsi="Times New Roman"/>
          <w:i/>
          <w:color w:val="000000"/>
          <w:sz w:val="24"/>
          <w:szCs w:val="28"/>
          <w:lang w:val="kk-KZ" w:eastAsia="ru-RU"/>
        </w:rPr>
        <w:t>2023 жылғы 31 мамырдағы</w:t>
      </w:r>
    </w:p>
    <w:p w:rsidR="00B00A62" w:rsidRPr="00C54A2E" w:rsidRDefault="00B00A62" w:rsidP="00B00A6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8"/>
          <w:lang w:val="kk-KZ" w:eastAsia="ru-RU"/>
        </w:rPr>
      </w:pPr>
      <w:r w:rsidRPr="00C54A2E">
        <w:rPr>
          <w:rFonts w:ascii="Times New Roman" w:eastAsia="Times New Roman" w:hAnsi="Times New Roman"/>
          <w:i/>
          <w:color w:val="000000"/>
          <w:sz w:val="24"/>
          <w:szCs w:val="28"/>
          <w:lang w:val="kk-KZ" w:eastAsia="ru-RU"/>
        </w:rPr>
        <w:t>№  ДС-205 сауалға</w:t>
      </w:r>
    </w:p>
    <w:p w:rsidR="00B00A62" w:rsidRPr="00B313DB" w:rsidRDefault="00B00A62" w:rsidP="00B00A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B00A62" w:rsidRDefault="00B00A62" w:rsidP="00B00A6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Құрметті Қайрат Рахымұлы,</w:t>
      </w:r>
    </w:p>
    <w:p w:rsidR="00B00A62" w:rsidRPr="00B313DB" w:rsidRDefault="00B00A62" w:rsidP="00B00A6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Ерлан Тұрсынбайұлы</w:t>
      </w:r>
      <w:r w:rsidRPr="00B313DB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!</w:t>
      </w:r>
    </w:p>
    <w:p w:rsidR="00B00A62" w:rsidRPr="00723708" w:rsidRDefault="00B00A62" w:rsidP="00B00A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B00A62" w:rsidRPr="00B313DB" w:rsidRDefault="00B00A62" w:rsidP="00B00A6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</w:t>
      </w:r>
      <w:r w:rsidRPr="00723708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ліміздегі мия түрлері, сасық ферула, дәрмене жусан сияқты дәрілік өсімдіктер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</w:t>
      </w:r>
      <w:r w:rsidRPr="00723708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ің жа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й-күйіне қатысты депутаттық сауалдарың</w:t>
      </w:r>
      <w:r w:rsidRPr="00723708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ызд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ы </w:t>
      </w:r>
      <w:r w:rsidRPr="00B313D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қарап, келесіні хабарлай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мын</w:t>
      </w:r>
      <w:r w:rsidRPr="00B313D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</w:p>
    <w:p w:rsidR="00B00A62" w:rsidRPr="00B313DB" w:rsidRDefault="00B00A62" w:rsidP="00B00A6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B313D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Жалаң мия және Орал миясы Қазақстан Республикасы Экология және табиғи ресурстар министрінің 2023 жылғы 7 наурыздағы № 77 бұйрығымен бекітілген Дәрілік өсімдіктердің тізбесіне кіреді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, сондай-ақ елімізде </w:t>
      </w:r>
      <w:r w:rsidRPr="00B313D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экспортталатын негізгі дәрілік өсімдіктердің бірі болып табылады. </w:t>
      </w:r>
    </w:p>
    <w:p w:rsidR="00B00A62" w:rsidRPr="00B313DB" w:rsidRDefault="00B00A62" w:rsidP="00B00A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B313D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Сасық ферула да ж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оғарыда аталған тізбеге кіретін дәрілік қасие</w:t>
      </w:r>
      <w:r w:rsidRPr="00B313D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ттері бар өсімдік.</w:t>
      </w:r>
      <w:r w:rsidRPr="00B313D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Алайда соңғы бес</w:t>
      </w:r>
      <w:r w:rsidRPr="00B313D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жылда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оның</w:t>
      </w:r>
      <w:r w:rsidRPr="00B313D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экспортына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B313DB">
        <w:rPr>
          <w:rFonts w:ascii="Times New Roman" w:eastAsia="Times New Roman" w:hAnsi="Times New Roman"/>
          <w:sz w:val="28"/>
          <w:szCs w:val="28"/>
          <w:lang w:val="kk-KZ" w:eastAsia="ru-RU"/>
        </w:rPr>
        <w:t>лицензия беріл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меген</w:t>
      </w:r>
      <w:r w:rsidRPr="00B313D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B00A62" w:rsidRPr="00B313DB" w:rsidRDefault="00B00A62" w:rsidP="00B00A6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Қазіргі кезде</w:t>
      </w:r>
      <w:r w:rsidRPr="00B313D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B313D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«Қазақстанның Қызыл кітабына» феруланың 10 түрі енгізілген,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олардың қатарында </w:t>
      </w:r>
      <w:r w:rsidRPr="00B313D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сасық ферула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жоқ</w:t>
      </w:r>
      <w:r w:rsidRPr="00B313D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</w:p>
    <w:p w:rsidR="00B00A62" w:rsidRPr="00B313DB" w:rsidRDefault="00B00A62" w:rsidP="00B00A6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B313D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Дәрмене жусан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–</w:t>
      </w:r>
      <w:r w:rsidRPr="00B313D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«Қазақстанның Қызыл кітабына» саны күрт азайып бара жатқан түр ретінде енгізілген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B313D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бағалы эндемдік дәрілік өсімдік.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Сондықтан оны жинауға және э</w:t>
      </w:r>
      <w:r w:rsidRPr="00B313D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</w:t>
      </w:r>
      <w:r w:rsidRPr="00B313D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порттауға тыйым салынған.</w:t>
      </w:r>
    </w:p>
    <w:p w:rsidR="00B00A62" w:rsidRPr="00B313DB" w:rsidRDefault="00B00A62" w:rsidP="00B00A6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B313D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2023 жылға дейін қолданыстағы Орман кодексімен және «Ерекше қорғалатын табиғи аумақтар туралы» және «Жайылымдар туралы»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З</w:t>
      </w:r>
      <w:r w:rsidRPr="00B313D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аңдармен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тек </w:t>
      </w:r>
      <w:r w:rsidRPr="00B313D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мемлекеттік орман қорында, оның ішінде ерекше қорғалатын табиғи аумақтарда және ауыл шаруашылығы мақсатындағы жерлерде өсімдік дүниесін қорғау, сақтау, қалпына келтіру және пайдалану мәселелері реттелген болатын.</w:t>
      </w:r>
    </w:p>
    <w:p w:rsidR="00B00A62" w:rsidRDefault="00B00A62" w:rsidP="00B00A6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</w:t>
      </w:r>
      <w:r w:rsidRPr="00B313D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осалқы жер қорында ілеспе өсімдік дүниесіне байланысты дәрілік өсімдік шикізаты, көпжылдық екпелер, генетикалық және өзге де өсім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дік ресурстары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lastRenderedPageBreak/>
        <w:t xml:space="preserve">мәселелерін реттеу мақсатында ағымдағы жылғы 2 </w:t>
      </w:r>
      <w:r w:rsidRPr="004D5318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қаңтарда </w:t>
      </w:r>
      <w:r w:rsidRPr="00B313D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«Өсімдіктер дүниесі туралы»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Заң (бұдан әрі – Заң) қабылданған болатын.</w:t>
      </w:r>
    </w:p>
    <w:p w:rsidR="00B00A62" w:rsidRDefault="00B00A62" w:rsidP="00B00A6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AB6B38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Бүгінгі күні дәрілік өсімдіктерді қорғау, арнайы пайдалануды реттеу, сақтау мәселелері қолданыстағы заңнама шеңберінде толық реттелген.</w:t>
      </w:r>
    </w:p>
    <w:p w:rsidR="00B00A62" w:rsidRPr="00AB6B38" w:rsidRDefault="00B00A62" w:rsidP="00B00A6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AB6B38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Заңға сәйкес дәрілік өсімдіктер дүниесін пайдалану тәртіптері айқындалып, өсімдіктер дүниесін арнайы пайдаланушылар үшін қатаң белгіленген мерзімдерде және өсімдіктер дүниесіне зиян келтірмейтін тәсілдермен жүзеге асыру, олардың популяциялары мен қауымдастықтарының, сондай-ақ өсетін жерлер</w:t>
      </w:r>
      <w:r w:rsidR="005F0D0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ін</w:t>
      </w:r>
      <w:r w:rsidRPr="00AB6B38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ің сақталуын қамтамасыз ету талаптары қарастырылған.</w:t>
      </w:r>
    </w:p>
    <w:p w:rsidR="00B00A62" w:rsidRPr="00AB6B38" w:rsidRDefault="00B00A62" w:rsidP="00B00A6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AB6B38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Сонымен бірге облыстардың, республикалық маңызы бар қалалардың және астананың жергілікті атқарушы органдарға өсімдіктер дүниесінің жекелеген түрлерін пайдалану лимиттерін бекіту құзыреті берілді.</w:t>
      </w:r>
    </w:p>
    <w:p w:rsidR="00B00A62" w:rsidRPr="00AB6B38" w:rsidRDefault="00B00A62" w:rsidP="00B00A6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AB6B38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Бұл ретте өсімдіктер дүниесін фармацевтикалық, азық-түліктік және техникалық мұқтаждар үшін пайдалану аккредиттелген мамандандырылған ұйымдар жүргізетін ресурстық зерттеп-қараулар материалдарының негізінде жергілікті атқарушы органдар бекіткен лимиттер шегінде жүзеге асырылады.</w:t>
      </w:r>
    </w:p>
    <w:p w:rsidR="00B00A62" w:rsidRPr="00AB6B38" w:rsidRDefault="00B00A62" w:rsidP="00B00A6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</w:t>
      </w:r>
      <w:r w:rsidRPr="00AB6B38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азіргі кезде мамандандырылған ұйымдар уәкілетті органнан аккредиттеуден өту сатысында. </w:t>
      </w:r>
    </w:p>
    <w:p w:rsidR="00B00A62" w:rsidRDefault="00B00A62" w:rsidP="00B00A6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AB6B38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Акредиттеуден өткеннен кейін осы ұйымдардың зерттеп-қарау материалдарына сәйкес өсімдіктердің жекелеген түрлерін жинауға шектеу қою, экспортқа тыйым салу, көбейтуге бағытталған іс-шаралар ұйымдастыру мәселелеріне қатысты «Ботаника және фитоинтродукция институты» ШЖҚ РМК мамандарымен бірлесіп, қажетті шаралар қабылданатын болады.</w:t>
      </w:r>
    </w:p>
    <w:p w:rsidR="00B00A62" w:rsidRPr="00B313DB" w:rsidRDefault="00B00A62" w:rsidP="00B00A6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B00A62" w:rsidRPr="00B313DB" w:rsidRDefault="00B00A62" w:rsidP="00B00A62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val="kk-KZ" w:eastAsia="ru-RU"/>
        </w:rPr>
      </w:pPr>
    </w:p>
    <w:p w:rsidR="00B00A62" w:rsidRPr="00B313DB" w:rsidRDefault="00B00A62" w:rsidP="00B00A62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val="kk-KZ" w:eastAsia="ru-RU"/>
        </w:rPr>
      </w:pPr>
    </w:p>
    <w:p w:rsidR="00B00A62" w:rsidRPr="00B313DB" w:rsidRDefault="00B00A62" w:rsidP="00B00A62">
      <w:pPr>
        <w:spacing w:after="0" w:line="240" w:lineRule="auto"/>
        <w:ind w:left="426"/>
        <w:jc w:val="right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Р. </w:t>
      </w:r>
      <w:r w:rsidRPr="0072370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Скляр                                                                        </w:t>
      </w:r>
    </w:p>
    <w:p w:rsidR="00723B54" w:rsidRPr="00CF36BC" w:rsidRDefault="00723B54" w:rsidP="00723B5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23B54" w:rsidRPr="00CF36BC" w:rsidRDefault="00723B54" w:rsidP="00723B5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23B54" w:rsidRPr="00CF36BC" w:rsidRDefault="00723B54" w:rsidP="00723B5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23B54" w:rsidRPr="00CF36BC" w:rsidRDefault="00723B54" w:rsidP="00723B5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F0D04" w:rsidRDefault="005F0D04" w:rsidP="00723B54">
      <w:pPr>
        <w:spacing w:after="0"/>
        <w:rPr>
          <w:rFonts w:ascii="Times New Roman" w:hAnsi="Times New Roman"/>
          <w:i/>
          <w:sz w:val="24"/>
          <w:szCs w:val="28"/>
        </w:rPr>
      </w:pPr>
    </w:p>
    <w:p w:rsidR="005F0D04" w:rsidRDefault="005F0D04" w:rsidP="00723B54">
      <w:pPr>
        <w:spacing w:after="0"/>
        <w:rPr>
          <w:rFonts w:ascii="Times New Roman" w:hAnsi="Times New Roman"/>
          <w:i/>
          <w:sz w:val="24"/>
          <w:szCs w:val="28"/>
        </w:rPr>
      </w:pPr>
    </w:p>
    <w:p w:rsidR="005F0D04" w:rsidRDefault="005F0D04" w:rsidP="00723B54">
      <w:pPr>
        <w:spacing w:after="0"/>
        <w:rPr>
          <w:rFonts w:ascii="Times New Roman" w:hAnsi="Times New Roman"/>
          <w:i/>
          <w:sz w:val="24"/>
          <w:szCs w:val="28"/>
        </w:rPr>
      </w:pPr>
    </w:p>
    <w:p w:rsidR="005F0D04" w:rsidRDefault="005F0D04" w:rsidP="00723B54">
      <w:pPr>
        <w:spacing w:after="0"/>
        <w:rPr>
          <w:rFonts w:ascii="Times New Roman" w:hAnsi="Times New Roman"/>
          <w:i/>
          <w:sz w:val="24"/>
          <w:szCs w:val="28"/>
        </w:rPr>
      </w:pPr>
    </w:p>
    <w:p w:rsidR="005F0D04" w:rsidRDefault="005F0D04" w:rsidP="00723B54">
      <w:pPr>
        <w:spacing w:after="0"/>
        <w:rPr>
          <w:rFonts w:ascii="Times New Roman" w:hAnsi="Times New Roman"/>
          <w:i/>
          <w:sz w:val="24"/>
          <w:szCs w:val="28"/>
        </w:rPr>
      </w:pPr>
    </w:p>
    <w:p w:rsidR="005F0D04" w:rsidRDefault="005F0D04" w:rsidP="00723B54">
      <w:pPr>
        <w:spacing w:after="0"/>
        <w:rPr>
          <w:rFonts w:ascii="Times New Roman" w:hAnsi="Times New Roman"/>
          <w:i/>
          <w:sz w:val="24"/>
          <w:szCs w:val="28"/>
        </w:rPr>
      </w:pPr>
    </w:p>
    <w:p w:rsidR="005F0D04" w:rsidRDefault="005F0D04" w:rsidP="00723B54">
      <w:pPr>
        <w:spacing w:after="0"/>
        <w:rPr>
          <w:rFonts w:ascii="Times New Roman" w:hAnsi="Times New Roman"/>
          <w:i/>
          <w:sz w:val="24"/>
          <w:szCs w:val="28"/>
        </w:rPr>
      </w:pPr>
    </w:p>
    <w:p w:rsidR="005F0D04" w:rsidRDefault="005F0D04" w:rsidP="00723B54">
      <w:pPr>
        <w:spacing w:after="0"/>
        <w:rPr>
          <w:rFonts w:ascii="Times New Roman" w:hAnsi="Times New Roman"/>
          <w:i/>
          <w:sz w:val="24"/>
          <w:szCs w:val="28"/>
        </w:rPr>
      </w:pPr>
    </w:p>
    <w:p w:rsidR="005F0D04" w:rsidRDefault="005F0D04" w:rsidP="00723B54">
      <w:pPr>
        <w:spacing w:after="0"/>
        <w:rPr>
          <w:rFonts w:ascii="Times New Roman" w:hAnsi="Times New Roman"/>
          <w:i/>
          <w:sz w:val="24"/>
          <w:szCs w:val="28"/>
        </w:rPr>
      </w:pPr>
    </w:p>
    <w:p w:rsidR="005F0D04" w:rsidRDefault="005F0D04" w:rsidP="00723B54">
      <w:pPr>
        <w:spacing w:after="0"/>
        <w:rPr>
          <w:rFonts w:ascii="Times New Roman" w:hAnsi="Times New Roman"/>
          <w:i/>
          <w:sz w:val="24"/>
          <w:szCs w:val="28"/>
        </w:rPr>
      </w:pPr>
    </w:p>
    <w:p w:rsidR="005F0D04" w:rsidRDefault="005F0D04" w:rsidP="00723B54">
      <w:pPr>
        <w:spacing w:after="0"/>
        <w:rPr>
          <w:rFonts w:ascii="Times New Roman" w:hAnsi="Times New Roman"/>
          <w:i/>
          <w:sz w:val="24"/>
          <w:szCs w:val="28"/>
        </w:rPr>
      </w:pPr>
    </w:p>
    <w:p w:rsidR="00723B54" w:rsidRPr="00CF36BC" w:rsidRDefault="005F0D04" w:rsidP="00723B54">
      <w:pPr>
        <w:spacing w:after="0"/>
        <w:rPr>
          <w:rFonts w:ascii="Arial" w:hAnsi="Arial" w:cs="Arial"/>
          <w:bCs/>
          <w:i/>
          <w:sz w:val="24"/>
          <w:szCs w:val="28"/>
        </w:rPr>
      </w:pPr>
      <w:r w:rsidRPr="00CF36BC">
        <w:rPr>
          <w:rFonts w:ascii="Times New Roman" w:hAnsi="Times New Roman"/>
          <w:i/>
          <w:sz w:val="24"/>
          <w:szCs w:val="28"/>
        </w:rPr>
        <w:t>Д</w:t>
      </w:r>
      <w:r>
        <w:rPr>
          <w:rFonts w:ascii="Times New Roman" w:hAnsi="Times New Roman"/>
          <w:i/>
          <w:sz w:val="24"/>
          <w:szCs w:val="28"/>
          <w:lang w:val="kk-KZ"/>
        </w:rPr>
        <w:t>.</w:t>
      </w:r>
      <w:r w:rsidRPr="00CF36BC">
        <w:rPr>
          <w:rFonts w:ascii="Times New Roman" w:hAnsi="Times New Roman"/>
          <w:i/>
          <w:sz w:val="24"/>
          <w:szCs w:val="28"/>
        </w:rPr>
        <w:t xml:space="preserve"> </w:t>
      </w:r>
      <w:r w:rsidR="00723B54" w:rsidRPr="00CF36BC">
        <w:rPr>
          <w:rFonts w:ascii="Times New Roman" w:hAnsi="Times New Roman"/>
          <w:i/>
          <w:sz w:val="24"/>
          <w:szCs w:val="28"/>
        </w:rPr>
        <w:t>Т</w:t>
      </w:r>
      <w:r>
        <w:rPr>
          <w:rFonts w:ascii="Times New Roman" w:hAnsi="Times New Roman"/>
          <w:i/>
          <w:sz w:val="24"/>
          <w:szCs w:val="28"/>
          <w:lang w:val="kk-KZ"/>
        </w:rPr>
        <w:t>і</w:t>
      </w:r>
      <w:proofErr w:type="spellStart"/>
      <w:r w:rsidR="00723B54" w:rsidRPr="00CF36BC">
        <w:rPr>
          <w:rFonts w:ascii="Times New Roman" w:hAnsi="Times New Roman"/>
          <w:i/>
          <w:sz w:val="24"/>
          <w:szCs w:val="28"/>
        </w:rPr>
        <w:t>леуов</w:t>
      </w:r>
      <w:proofErr w:type="spellEnd"/>
      <w:r w:rsidR="00723B54" w:rsidRPr="00CF36BC">
        <w:rPr>
          <w:rFonts w:ascii="Times New Roman" w:hAnsi="Times New Roman"/>
          <w:i/>
          <w:sz w:val="24"/>
          <w:szCs w:val="28"/>
        </w:rPr>
        <w:t>, 745501</w:t>
      </w:r>
    </w:p>
    <w:p w:rsidR="00723B54" w:rsidRPr="00416C33" w:rsidRDefault="00723B54" w:rsidP="00416C33"/>
    <w:sectPr w:rsidR="00723B54" w:rsidRPr="00416C33" w:rsidSect="00382E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F1F" w:rsidRDefault="00953F1F" w:rsidP="00F55F2E">
      <w:pPr>
        <w:spacing w:after="0" w:line="240" w:lineRule="auto"/>
      </w:pPr>
      <w:r>
        <w:separator/>
      </w:r>
    </w:p>
  </w:endnote>
  <w:endnote w:type="continuationSeparator" w:id="0">
    <w:p w:rsidR="00953F1F" w:rsidRDefault="00953F1F" w:rsidP="00F5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CEF" w:rsidRDefault="00D67CE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CEF" w:rsidRDefault="00D67CE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CEF" w:rsidRDefault="00D67C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F1F" w:rsidRDefault="00953F1F" w:rsidP="00F55F2E">
      <w:pPr>
        <w:spacing w:after="0" w:line="240" w:lineRule="auto"/>
      </w:pPr>
      <w:r>
        <w:separator/>
      </w:r>
    </w:p>
  </w:footnote>
  <w:footnote w:type="continuationSeparator" w:id="0">
    <w:p w:rsidR="00953F1F" w:rsidRDefault="00953F1F" w:rsidP="00F5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CEF" w:rsidRDefault="00D67C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933192"/>
      <w:docPartObj>
        <w:docPartGallery w:val="Page Numbers (Top of Page)"/>
        <w:docPartUnique/>
      </w:docPartObj>
    </w:sdtPr>
    <w:sdtEndPr/>
    <w:sdtContent>
      <w:p w:rsidR="00382E6A" w:rsidRDefault="00382E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692">
          <w:rPr>
            <w:noProof/>
          </w:rPr>
          <w:t>2</w:t>
        </w:r>
        <w:r>
          <w:fldChar w:fldCharType="end"/>
        </w:r>
      </w:p>
    </w:sdtContent>
  </w:sdt>
  <w:p w:rsidR="00382E6A" w:rsidRDefault="00382E6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33" w:rsidRDefault="00D67CEF" w:rsidP="00382E6A">
    <w:pPr>
      <w:pStyle w:val="a5"/>
      <w:tabs>
        <w:tab w:val="clear" w:pos="9355"/>
        <w:tab w:val="right" w:pos="9637"/>
      </w:tabs>
      <w:ind w:left="-42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888873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67CEF" w:rsidRPr="00D67CEF" w:rsidRDefault="00D67CEF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18.10.2023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left:0;text-align:left;margin-left:494.4pt;margin-top:70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:rsidR="00D67CEF" w:rsidRPr="00D67CEF" w:rsidRDefault="00D67CEF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18.10.2023 ЭҚАБЖ МО (7.23.0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5pt;margin-top:-15pt;width:204pt;height:21pt;z-index:251658240;mso-position-horizontal-relative:text;mso-position-vertical-relative:text">
          <v:fill r:id="rId1" o:title=""/>
          <v:stroke r:id="rId1" o:title=""/>
          <v:shadow color="#868686"/>
          <v:textpath style="font-family:&quot;Times New Roman&quot;;font-size:8pt;v-text-kern:t" trim="t" fitpath="t" string="27.06.2023-ғы № 11-12/2540 дз шығыс хаты&#10;29.06.2023-ғы № 2696//11-12/2540дз/ДС-205 кіріс хаты"/>
        </v:shape>
      </w:pict>
    </w:r>
    <w:r w:rsidR="00382E6A">
      <w:rPr>
        <w:noProof/>
        <w:lang w:eastAsia="ru-RU"/>
      </w:rPr>
      <w:drawing>
        <wp:inline distT="0" distB="0" distL="0" distR="0" wp14:anchorId="24BFFDEE" wp14:editId="747D5B04">
          <wp:extent cx="6347462" cy="186690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9886" cy="1870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83C2D"/>
    <w:rsid w:val="000A2792"/>
    <w:rsid w:val="0019324F"/>
    <w:rsid w:val="00195856"/>
    <w:rsid w:val="002C13C5"/>
    <w:rsid w:val="00382E6A"/>
    <w:rsid w:val="00416C33"/>
    <w:rsid w:val="00486CB9"/>
    <w:rsid w:val="0053529D"/>
    <w:rsid w:val="00557692"/>
    <w:rsid w:val="005F0D04"/>
    <w:rsid w:val="00723B54"/>
    <w:rsid w:val="008C668C"/>
    <w:rsid w:val="008C7F61"/>
    <w:rsid w:val="00953F1F"/>
    <w:rsid w:val="00971FB0"/>
    <w:rsid w:val="00A40F19"/>
    <w:rsid w:val="00B00A62"/>
    <w:rsid w:val="00D67CEF"/>
    <w:rsid w:val="00F55F2E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1DAF4C0-469F-4616-A46B-777DFACB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B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Кусаинова Галия</cp:lastModifiedBy>
  <cp:revision>2</cp:revision>
  <cp:lastPrinted>2019-12-30T13:46:00Z</cp:lastPrinted>
  <dcterms:created xsi:type="dcterms:W3CDTF">2023-10-18T10:44:00Z</dcterms:created>
  <dcterms:modified xsi:type="dcterms:W3CDTF">2023-10-18T10:44:00Z</dcterms:modified>
</cp:coreProperties>
</file>