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9"/>
      </w:tblGrid>
      <w:tr w:rsidR="00847FA0" w:rsidTr="00847FA0">
        <w:tblPrEx>
          <w:tblCellMar>
            <w:top w:w="0" w:type="dxa"/>
            <w:bottom w:w="0" w:type="dxa"/>
          </w:tblCellMar>
        </w:tblPrEx>
        <w:tc>
          <w:tcPr>
            <w:tcW w:w="9639" w:type="dxa"/>
            <w:shd w:val="clear" w:color="auto" w:fill="auto"/>
          </w:tcPr>
          <w:p w:rsidR="00847FA0" w:rsidRDefault="00847FA0" w:rsidP="00847FA0">
            <w:pPr>
              <w:rPr>
                <w:color w:val="0C0000"/>
                <w:lang w:val="kk-KZ"/>
              </w:rPr>
            </w:pPr>
            <w:bookmarkStart w:id="0" w:name="_GoBack"/>
            <w:bookmarkEnd w:id="0"/>
            <w:r>
              <w:rPr>
                <w:color w:val="0C0000"/>
                <w:lang w:val="kk-KZ"/>
              </w:rPr>
              <w:t>№ исх: 16-05/1615 дз   от: 04.05.2023</w:t>
            </w:r>
          </w:p>
          <w:p w:rsidR="00847FA0" w:rsidRPr="00847FA0" w:rsidRDefault="00847FA0" w:rsidP="00847FA0">
            <w:pPr>
              <w:rPr>
                <w:color w:val="0C0000"/>
                <w:lang w:val="kk-KZ"/>
              </w:rPr>
            </w:pPr>
            <w:r>
              <w:rPr>
                <w:color w:val="0C0000"/>
                <w:lang w:val="kk-KZ"/>
              </w:rPr>
              <w:t>№ вх.1326//16-05/1615дз/ДС-64  от: 04.05.2023</w:t>
            </w:r>
          </w:p>
        </w:tc>
      </w:tr>
    </w:tbl>
    <w:p w:rsidR="00CD0420" w:rsidRPr="000802D8" w:rsidRDefault="00CD0420" w:rsidP="00847FA0">
      <w:pPr>
        <w:rPr>
          <w:lang w:val="kk-KZ"/>
        </w:rPr>
      </w:pPr>
    </w:p>
    <w:p w:rsidR="00F4167B" w:rsidRPr="00F4526D" w:rsidRDefault="00037025" w:rsidP="00F4167B">
      <w:pPr>
        <w:ind w:left="5954"/>
        <w:jc w:val="center"/>
        <w:rPr>
          <w:b/>
          <w:sz w:val="28"/>
          <w:szCs w:val="28"/>
          <w:lang w:val="kk-KZ"/>
        </w:rPr>
      </w:pPr>
      <w:r w:rsidRPr="006B5D62">
        <w:rPr>
          <w:rFonts w:eastAsia="Calibri"/>
          <w:sz w:val="28"/>
          <w:szCs w:val="28"/>
          <w:lang w:val="kk-KZ"/>
        </w:rPr>
        <w:t xml:space="preserve">                                                                     </w:t>
      </w:r>
      <w:r w:rsidR="00F4167B" w:rsidRPr="00F4526D">
        <w:rPr>
          <w:b/>
          <w:sz w:val="28"/>
          <w:szCs w:val="28"/>
          <w:lang w:val="kk-KZ"/>
        </w:rPr>
        <w:t>Қазақстан Республикасы</w:t>
      </w:r>
    </w:p>
    <w:p w:rsidR="00F4167B" w:rsidRPr="00F4526D" w:rsidRDefault="00F4167B" w:rsidP="00F4167B">
      <w:pPr>
        <w:ind w:left="5954"/>
        <w:jc w:val="center"/>
        <w:rPr>
          <w:b/>
          <w:i/>
          <w:sz w:val="28"/>
          <w:szCs w:val="28"/>
          <w:lang w:val="kk-KZ"/>
        </w:rPr>
      </w:pPr>
      <w:r w:rsidRPr="00F4526D">
        <w:rPr>
          <w:b/>
          <w:sz w:val="28"/>
          <w:szCs w:val="28"/>
          <w:lang w:val="kk-KZ"/>
        </w:rPr>
        <w:t>Парламенті Мәжілісінің депутаттары</w:t>
      </w:r>
      <w:r w:rsidR="00ED2A9D">
        <w:rPr>
          <w:b/>
          <w:sz w:val="28"/>
          <w:szCs w:val="28"/>
          <w:lang w:val="kk-KZ"/>
        </w:rPr>
        <w:t>на</w:t>
      </w:r>
      <w:r w:rsidRPr="00F4526D">
        <w:rPr>
          <w:b/>
          <w:i/>
          <w:sz w:val="28"/>
          <w:szCs w:val="28"/>
          <w:lang w:val="kk-KZ"/>
        </w:rPr>
        <w:t xml:space="preserve"> </w:t>
      </w:r>
    </w:p>
    <w:p w:rsidR="00EB59DD" w:rsidRPr="00F4526D" w:rsidRDefault="00EB59DD" w:rsidP="00F4167B">
      <w:pPr>
        <w:ind w:left="5954"/>
        <w:jc w:val="center"/>
        <w:rPr>
          <w:i/>
          <w:szCs w:val="28"/>
          <w:lang w:val="kk-KZ"/>
        </w:rPr>
      </w:pPr>
      <w:r w:rsidRPr="00F4526D">
        <w:rPr>
          <w:i/>
          <w:szCs w:val="28"/>
          <w:lang w:val="kk-KZ"/>
        </w:rPr>
        <w:t>(</w:t>
      </w:r>
      <w:r w:rsidR="00F4167B">
        <w:rPr>
          <w:i/>
          <w:szCs w:val="28"/>
          <w:lang w:val="kk-KZ"/>
        </w:rPr>
        <w:t>тізім бойынша</w:t>
      </w:r>
      <w:r w:rsidRPr="00F4526D">
        <w:rPr>
          <w:i/>
          <w:szCs w:val="28"/>
          <w:lang w:val="kk-KZ"/>
        </w:rPr>
        <w:t>)</w:t>
      </w:r>
    </w:p>
    <w:p w:rsidR="00EB59DD" w:rsidRPr="00F4526D" w:rsidRDefault="00EB59DD" w:rsidP="00EB59DD">
      <w:pPr>
        <w:tabs>
          <w:tab w:val="left" w:pos="4962"/>
        </w:tabs>
        <w:ind w:firstLine="709"/>
        <w:jc w:val="both"/>
        <w:rPr>
          <w:i/>
          <w:sz w:val="16"/>
          <w:lang w:val="kk-KZ"/>
        </w:rPr>
      </w:pPr>
    </w:p>
    <w:p w:rsidR="00EB59DD" w:rsidRPr="00F4526D" w:rsidRDefault="00EB59DD" w:rsidP="00EB59DD">
      <w:pPr>
        <w:tabs>
          <w:tab w:val="left" w:pos="5245"/>
          <w:tab w:val="left" w:pos="5954"/>
        </w:tabs>
        <w:ind w:firstLine="709"/>
        <w:jc w:val="right"/>
        <w:rPr>
          <w:i/>
          <w:lang w:val="kk-KZ"/>
        </w:rPr>
      </w:pPr>
    </w:p>
    <w:p w:rsidR="00EB59DD" w:rsidRPr="00F4526D" w:rsidRDefault="00EB59DD" w:rsidP="00037025">
      <w:pPr>
        <w:tabs>
          <w:tab w:val="left" w:pos="4962"/>
        </w:tabs>
        <w:ind w:firstLine="709"/>
        <w:jc w:val="both"/>
        <w:rPr>
          <w:i/>
          <w:lang w:val="kk-KZ"/>
        </w:rPr>
      </w:pPr>
    </w:p>
    <w:p w:rsidR="00F4526D" w:rsidRPr="00F4526D" w:rsidRDefault="00F4526D" w:rsidP="00F4526D">
      <w:pPr>
        <w:tabs>
          <w:tab w:val="left" w:pos="4962"/>
        </w:tabs>
        <w:ind w:firstLine="709"/>
        <w:jc w:val="both"/>
        <w:rPr>
          <w:i/>
          <w:lang w:val="kk-KZ"/>
        </w:rPr>
      </w:pPr>
      <w:r w:rsidRPr="00F4526D">
        <w:rPr>
          <w:i/>
          <w:lang w:val="kk-KZ"/>
        </w:rPr>
        <w:t xml:space="preserve">2023 жылғы </w:t>
      </w:r>
      <w:r>
        <w:rPr>
          <w:i/>
          <w:lang w:val="kk-KZ"/>
        </w:rPr>
        <w:t>13 сәуірдегі</w:t>
      </w:r>
    </w:p>
    <w:p w:rsidR="00037025" w:rsidRPr="00F4526D" w:rsidRDefault="00F4526D" w:rsidP="00F4526D">
      <w:pPr>
        <w:tabs>
          <w:tab w:val="left" w:pos="4962"/>
        </w:tabs>
        <w:ind w:firstLine="709"/>
        <w:jc w:val="both"/>
        <w:rPr>
          <w:i/>
          <w:lang w:val="kk-KZ"/>
        </w:rPr>
      </w:pPr>
      <w:r w:rsidRPr="00F4526D">
        <w:rPr>
          <w:i/>
          <w:lang w:val="kk-KZ"/>
        </w:rPr>
        <w:t>№ДС-</w:t>
      </w:r>
      <w:r>
        <w:rPr>
          <w:i/>
          <w:lang w:val="kk-KZ"/>
        </w:rPr>
        <w:t>64</w:t>
      </w:r>
      <w:r w:rsidRPr="00F4526D">
        <w:rPr>
          <w:i/>
          <w:lang w:val="kk-KZ"/>
        </w:rPr>
        <w:t xml:space="preserve"> хатқа</w:t>
      </w:r>
    </w:p>
    <w:p w:rsidR="00037025" w:rsidRPr="00F4526D" w:rsidRDefault="00037025" w:rsidP="00037025">
      <w:pPr>
        <w:ind w:firstLine="709"/>
        <w:jc w:val="right"/>
        <w:rPr>
          <w:rFonts w:eastAsia="Calibri"/>
          <w:b/>
          <w:sz w:val="28"/>
          <w:szCs w:val="28"/>
          <w:lang w:val="kk-KZ" w:eastAsia="en-US"/>
        </w:rPr>
      </w:pPr>
    </w:p>
    <w:p w:rsidR="00037025" w:rsidRDefault="00F4526D" w:rsidP="00037025">
      <w:pPr>
        <w:ind w:firstLine="709"/>
        <w:jc w:val="center"/>
        <w:rPr>
          <w:rFonts w:eastAsia="Calibri"/>
          <w:b/>
          <w:sz w:val="28"/>
          <w:szCs w:val="28"/>
          <w:lang w:val="kk-KZ" w:eastAsia="en-US"/>
        </w:rPr>
      </w:pPr>
      <w:r>
        <w:rPr>
          <w:rFonts w:eastAsia="Calibri"/>
          <w:b/>
          <w:sz w:val="28"/>
          <w:szCs w:val="28"/>
          <w:lang w:val="kk-KZ" w:eastAsia="en-US"/>
        </w:rPr>
        <w:t xml:space="preserve">Құрметті </w:t>
      </w:r>
      <w:r w:rsidR="00037025">
        <w:rPr>
          <w:rFonts w:eastAsia="Calibri"/>
          <w:b/>
          <w:sz w:val="28"/>
          <w:szCs w:val="28"/>
          <w:lang w:val="kk-KZ" w:eastAsia="en-US"/>
        </w:rPr>
        <w:t>депутат</w:t>
      </w:r>
      <w:r>
        <w:rPr>
          <w:rFonts w:eastAsia="Calibri"/>
          <w:b/>
          <w:sz w:val="28"/>
          <w:szCs w:val="28"/>
          <w:lang w:val="kk-KZ" w:eastAsia="en-US"/>
        </w:rPr>
        <w:t>тар</w:t>
      </w:r>
      <w:r w:rsidR="00037025">
        <w:rPr>
          <w:rFonts w:eastAsia="Calibri"/>
          <w:b/>
          <w:sz w:val="28"/>
          <w:szCs w:val="28"/>
          <w:lang w:val="kk-KZ" w:eastAsia="en-US"/>
        </w:rPr>
        <w:t>!</w:t>
      </w:r>
    </w:p>
    <w:p w:rsidR="00EB59DD" w:rsidRPr="00037025" w:rsidRDefault="00EB59DD" w:rsidP="00037025">
      <w:pPr>
        <w:ind w:firstLine="709"/>
        <w:jc w:val="center"/>
        <w:rPr>
          <w:rFonts w:eastAsia="Calibri"/>
          <w:b/>
          <w:sz w:val="28"/>
          <w:szCs w:val="28"/>
          <w:lang w:val="kk-KZ" w:eastAsia="en-US"/>
        </w:rPr>
      </w:pPr>
    </w:p>
    <w:p w:rsidR="003C368B" w:rsidRPr="003C368B" w:rsidRDefault="003C368B" w:rsidP="009E6761">
      <w:pPr>
        <w:ind w:firstLine="709"/>
        <w:jc w:val="both"/>
        <w:rPr>
          <w:sz w:val="28"/>
          <w:szCs w:val="28"/>
          <w:lang w:val="kk-KZ"/>
        </w:rPr>
      </w:pPr>
      <w:r w:rsidRPr="003C368B">
        <w:rPr>
          <w:sz w:val="28"/>
          <w:szCs w:val="28"/>
          <w:lang w:val="kk-KZ"/>
        </w:rPr>
        <w:t xml:space="preserve">Атаулы әлеуметтік көмекті есептеу әдістемесін қайта қарауға және </w:t>
      </w:r>
      <w:r>
        <w:rPr>
          <w:sz w:val="28"/>
          <w:szCs w:val="28"/>
          <w:lang w:val="kk-KZ"/>
        </w:rPr>
        <w:t>о</w:t>
      </w:r>
      <w:r w:rsidRPr="003C368B">
        <w:rPr>
          <w:sz w:val="28"/>
          <w:szCs w:val="28"/>
          <w:lang w:val="kk-KZ"/>
        </w:rPr>
        <w:t>н сегіз жасқа дейінгі бірыңғай балалар жәрдемақысын енгізуге қатысты депутаттық сауал</w:t>
      </w:r>
      <w:r>
        <w:rPr>
          <w:sz w:val="28"/>
          <w:szCs w:val="28"/>
          <w:lang w:val="kk-KZ"/>
        </w:rPr>
        <w:t>ыңызды</w:t>
      </w:r>
      <w:r w:rsidRPr="003C368B">
        <w:rPr>
          <w:sz w:val="28"/>
          <w:szCs w:val="28"/>
          <w:lang w:val="kk-KZ"/>
        </w:rPr>
        <w:t xml:space="preserve"> қара</w:t>
      </w:r>
      <w:r>
        <w:rPr>
          <w:sz w:val="28"/>
          <w:szCs w:val="28"/>
          <w:lang w:val="kk-KZ"/>
        </w:rPr>
        <w:t>п,</w:t>
      </w:r>
      <w:r w:rsidRPr="003C368B">
        <w:rPr>
          <w:sz w:val="28"/>
          <w:szCs w:val="28"/>
          <w:lang w:val="kk-KZ"/>
        </w:rPr>
        <w:t xml:space="preserve"> </w:t>
      </w:r>
      <w:r>
        <w:rPr>
          <w:sz w:val="28"/>
          <w:szCs w:val="28"/>
          <w:lang w:val="kk-KZ"/>
        </w:rPr>
        <w:t>келесіні</w:t>
      </w:r>
      <w:r w:rsidRPr="003C368B">
        <w:rPr>
          <w:sz w:val="28"/>
          <w:szCs w:val="28"/>
          <w:lang w:val="kk-KZ"/>
        </w:rPr>
        <w:t xml:space="preserve"> хабарлаймын.</w:t>
      </w:r>
    </w:p>
    <w:p w:rsidR="00F4526D" w:rsidRPr="00F4526D" w:rsidRDefault="00F4526D" w:rsidP="00F4526D">
      <w:pPr>
        <w:ind w:firstLine="709"/>
        <w:jc w:val="both"/>
        <w:rPr>
          <w:sz w:val="28"/>
          <w:szCs w:val="28"/>
          <w:lang w:val="kk-KZ"/>
        </w:rPr>
      </w:pPr>
      <w:r w:rsidRPr="00F4526D">
        <w:rPr>
          <w:sz w:val="28"/>
          <w:szCs w:val="28"/>
          <w:lang w:val="kk-KZ"/>
        </w:rPr>
        <w:t>Балалары бар отбасыларды әлеуметтік қолдау әлеуметтік саясаттың маңызды бағыттарының бірі болып табылады.</w:t>
      </w:r>
    </w:p>
    <w:p w:rsidR="00F4526D" w:rsidRPr="00F4526D" w:rsidRDefault="00F4526D" w:rsidP="00F4526D">
      <w:pPr>
        <w:ind w:firstLine="709"/>
        <w:jc w:val="both"/>
        <w:rPr>
          <w:sz w:val="28"/>
          <w:szCs w:val="28"/>
          <w:lang w:val="kk-KZ"/>
        </w:rPr>
      </w:pPr>
      <w:r w:rsidRPr="00F4526D">
        <w:rPr>
          <w:sz w:val="28"/>
          <w:szCs w:val="28"/>
          <w:lang w:val="kk-KZ"/>
        </w:rPr>
        <w:t>Мемлекет маңызды әлеуметтік игіліктердің жалпыға бірдей қолжетімділігі мен қоғамдық қолайлы сапасын қамтамасыз етуге арналған негізгі ең төменгі әлеуметтік стандарттарға кепілдік береді.</w:t>
      </w:r>
    </w:p>
    <w:p w:rsidR="00F4526D" w:rsidRPr="00F4526D" w:rsidRDefault="00F4526D" w:rsidP="00F4526D">
      <w:pPr>
        <w:ind w:firstLine="709"/>
        <w:jc w:val="both"/>
        <w:rPr>
          <w:sz w:val="28"/>
          <w:szCs w:val="28"/>
          <w:lang w:val="kk-KZ"/>
        </w:rPr>
      </w:pPr>
      <w:r w:rsidRPr="00F4526D">
        <w:rPr>
          <w:sz w:val="28"/>
          <w:szCs w:val="28"/>
          <w:lang w:val="kk-KZ"/>
        </w:rPr>
        <w:t>Бүгінде елімізде мемлекеттік жәрдемақылар, әлеуметтік төлемдер, жұмыспен қамтуға жәрдемдесу шаралары, салық салу кезінде жеңілдіктер және т.б. жүйесін қамтитын балалары бар отбасыларды әлеуметтік қолдаудың тұтас жүйесі жұмыс істейді.</w:t>
      </w:r>
    </w:p>
    <w:p w:rsidR="00F4526D" w:rsidRPr="00F4526D" w:rsidRDefault="00F4526D" w:rsidP="00F4526D">
      <w:pPr>
        <w:ind w:firstLine="709"/>
        <w:jc w:val="both"/>
        <w:rPr>
          <w:sz w:val="28"/>
          <w:szCs w:val="28"/>
          <w:lang w:val="kk-KZ"/>
        </w:rPr>
      </w:pPr>
      <w:r w:rsidRPr="00F4526D">
        <w:rPr>
          <w:sz w:val="28"/>
          <w:szCs w:val="28"/>
          <w:lang w:val="kk-KZ"/>
        </w:rPr>
        <w:t>Бұл ретте, әртүрлі өмірлік жағдайларда балалары бар отбасыларды қолдау мақсатында республикалық бюджеттен мемлекеттік жәрдемақылардың 5 түрі және Мемлекеттік әлеуметтік сақтандыру қорынан әлеуметтік төлемдердің</w:t>
      </w:r>
      <w:r w:rsidR="009E6761">
        <w:rPr>
          <w:sz w:val="28"/>
          <w:szCs w:val="28"/>
          <w:lang w:val="kk-KZ"/>
        </w:rPr>
        <w:t xml:space="preserve"> </w:t>
      </w:r>
      <w:r w:rsidR="009E6761">
        <w:rPr>
          <w:sz w:val="28"/>
          <w:szCs w:val="28"/>
          <w:lang w:val="kk-KZ"/>
        </w:rPr>
        <w:br/>
      </w:r>
      <w:r w:rsidRPr="00F4526D">
        <w:rPr>
          <w:sz w:val="28"/>
          <w:szCs w:val="28"/>
          <w:lang w:val="kk-KZ"/>
        </w:rPr>
        <w:t>2 түрі төленеді.</w:t>
      </w:r>
    </w:p>
    <w:p w:rsidR="00F4526D" w:rsidRPr="009E6761" w:rsidRDefault="00F4526D" w:rsidP="00F4526D">
      <w:pPr>
        <w:ind w:firstLine="709"/>
        <w:jc w:val="both"/>
        <w:rPr>
          <w:i/>
          <w:szCs w:val="28"/>
          <w:lang w:val="kk-KZ"/>
        </w:rPr>
      </w:pPr>
      <w:r w:rsidRPr="009E6761">
        <w:rPr>
          <w:i/>
          <w:szCs w:val="28"/>
          <w:lang w:val="kk-KZ"/>
        </w:rPr>
        <w:t>Анықтама: жүктілік және босану бойынша әлеуметтік төлем (орташа айлық жалақының шамамен 40%), бала тууға арналған жәрдемақы (бірінші, екінші, үшінші баланың тууына – 131 100 теңге, төртінші және одан да көп балаға-217 350 теңге), жұмыс істемейтін ата-аналар үшін бір жарым жасқа толғанға дейін бала күтімі бойынша жәрдемақы (19 872 теңгеден 30 705 теңгеге дейін), жұмыс істейтін ата-аналар үшін бір жарым жасқа толғанға дейін оның күтіміне байланысты табысынан айырылған жағдайда әлеуметтік төлем (48 511 теңге), көп балалы отбасына берілетін жәрдемақы (әр балаға шамамен 4 АЕК-тен), көп балалы анаға берілетін жәрдемақы (22 080 теңге), мүгедек баланы тәрбиелеп отырған ата-аналар үшін (56 794 теңге).</w:t>
      </w:r>
    </w:p>
    <w:p w:rsidR="00F4526D" w:rsidRPr="00F4526D" w:rsidRDefault="00F4526D" w:rsidP="00F4526D">
      <w:pPr>
        <w:ind w:firstLine="709"/>
        <w:jc w:val="both"/>
        <w:rPr>
          <w:sz w:val="28"/>
          <w:szCs w:val="28"/>
          <w:lang w:val="kk-KZ"/>
        </w:rPr>
      </w:pPr>
      <w:r w:rsidRPr="00F4526D">
        <w:rPr>
          <w:sz w:val="28"/>
          <w:szCs w:val="28"/>
          <w:lang w:val="kk-KZ"/>
        </w:rPr>
        <w:t xml:space="preserve">Мәселен соңғы он жылда балалары бар отбасыларға мемлекеттік жәрдемақы алушылар саны 747,2 мың адамға </w:t>
      </w:r>
      <w:r w:rsidRPr="009E6761">
        <w:rPr>
          <w:i/>
          <w:szCs w:val="28"/>
          <w:lang w:val="kk-KZ"/>
        </w:rPr>
        <w:t xml:space="preserve">(2012 жыл – 1 503 733 адам, 2022 жылы </w:t>
      </w:r>
      <w:r w:rsidRPr="009E6761">
        <w:rPr>
          <w:i/>
          <w:szCs w:val="28"/>
          <w:lang w:val="kk-KZ"/>
        </w:rPr>
        <w:lastRenderedPageBreak/>
        <w:t>– 2 250 889 адам)</w:t>
      </w:r>
      <w:r w:rsidRPr="00F4526D">
        <w:rPr>
          <w:sz w:val="28"/>
          <w:szCs w:val="28"/>
          <w:lang w:val="kk-KZ"/>
        </w:rPr>
        <w:t xml:space="preserve">, бөлінген қаражат сомасы 5 есеге жуық артты </w:t>
      </w:r>
      <w:r w:rsidRPr="009E6761">
        <w:rPr>
          <w:i/>
          <w:szCs w:val="28"/>
          <w:lang w:val="kk-KZ"/>
        </w:rPr>
        <w:t>(2012 жылы – 181,1 млрд. теңге, 2022 жылы - 917,1 млрд. теңге)</w:t>
      </w:r>
      <w:r w:rsidRPr="00F4526D">
        <w:rPr>
          <w:sz w:val="28"/>
          <w:szCs w:val="28"/>
          <w:lang w:val="kk-KZ"/>
        </w:rPr>
        <w:t xml:space="preserve">. Сонымен қатар статистикалық деректерге сәйкес 2012 жылдан бастап туылған балалар саны 5,9% – ға өсті </w:t>
      </w:r>
      <w:r w:rsidRPr="009E6761">
        <w:rPr>
          <w:i/>
          <w:szCs w:val="28"/>
          <w:lang w:val="kk-KZ"/>
        </w:rPr>
        <w:t>(2012 жылы</w:t>
      </w:r>
      <w:r w:rsidR="009E6761">
        <w:rPr>
          <w:i/>
          <w:szCs w:val="28"/>
          <w:lang w:val="kk-KZ"/>
        </w:rPr>
        <w:t xml:space="preserve"> </w:t>
      </w:r>
      <w:r w:rsidRPr="009E6761">
        <w:rPr>
          <w:i/>
          <w:szCs w:val="28"/>
          <w:lang w:val="kk-KZ"/>
        </w:rPr>
        <w:t>-</w:t>
      </w:r>
      <w:r w:rsidR="009E6761">
        <w:rPr>
          <w:i/>
          <w:szCs w:val="28"/>
          <w:lang w:val="kk-KZ"/>
        </w:rPr>
        <w:br/>
      </w:r>
      <w:r w:rsidRPr="009E6761">
        <w:rPr>
          <w:i/>
          <w:szCs w:val="28"/>
          <w:lang w:val="kk-KZ"/>
        </w:rPr>
        <w:t>381 105 бала, 2022 жылы - 403 500 бала)</w:t>
      </w:r>
      <w:r w:rsidRPr="00F4526D">
        <w:rPr>
          <w:sz w:val="28"/>
          <w:szCs w:val="28"/>
          <w:lang w:val="kk-KZ"/>
        </w:rPr>
        <w:t>.</w:t>
      </w:r>
    </w:p>
    <w:p w:rsidR="00F4526D" w:rsidRPr="00F4526D" w:rsidRDefault="00F4526D" w:rsidP="00F4526D">
      <w:pPr>
        <w:ind w:firstLine="709"/>
        <w:jc w:val="both"/>
        <w:rPr>
          <w:sz w:val="28"/>
          <w:szCs w:val="28"/>
          <w:lang w:val="kk-KZ"/>
        </w:rPr>
      </w:pPr>
      <w:r w:rsidRPr="00F4526D">
        <w:rPr>
          <w:sz w:val="28"/>
          <w:szCs w:val="28"/>
          <w:lang w:val="kk-KZ"/>
        </w:rPr>
        <w:t>Бұдан басқа Мемлекет Басшысының бастамасын ескере отырып, балалардың он сегіз жасқа толғанға дейінгі арнайы жинақтау шоттарына Ұлттық қордың жыл сайынғы инвестициялық табысының 50% аударымдары түрінде балалар капиталы енгіз</w:t>
      </w:r>
      <w:r w:rsidR="006B5D62">
        <w:rPr>
          <w:sz w:val="28"/>
          <w:szCs w:val="28"/>
          <w:lang w:val="kk-KZ"/>
        </w:rPr>
        <w:t>у жоспарлануда</w:t>
      </w:r>
      <w:r w:rsidRPr="00F4526D">
        <w:rPr>
          <w:sz w:val="28"/>
          <w:szCs w:val="28"/>
          <w:lang w:val="kk-KZ"/>
        </w:rPr>
        <w:t>.</w:t>
      </w:r>
    </w:p>
    <w:p w:rsidR="00F4526D" w:rsidRPr="00F4526D" w:rsidRDefault="00F4526D" w:rsidP="00F4526D">
      <w:pPr>
        <w:ind w:firstLine="709"/>
        <w:jc w:val="both"/>
        <w:rPr>
          <w:sz w:val="28"/>
          <w:szCs w:val="28"/>
          <w:lang w:val="kk-KZ"/>
        </w:rPr>
      </w:pPr>
      <w:r w:rsidRPr="00F4526D">
        <w:rPr>
          <w:sz w:val="28"/>
          <w:szCs w:val="28"/>
          <w:lang w:val="kk-KZ"/>
        </w:rPr>
        <w:t xml:space="preserve">Әлеуметтік кодекс шеңберінде жәрдемақылардың кейбір түрлерін </w:t>
      </w:r>
      <w:r w:rsidRPr="009E6761">
        <w:rPr>
          <w:i/>
          <w:szCs w:val="28"/>
          <w:lang w:val="kk-KZ"/>
        </w:rPr>
        <w:t xml:space="preserve">(мүгедектігі бойынша, асыраушысынан айрылу жағдайы бойынша, 18 жастан асқан бірінші топтағы мүгедекке күтім жасайтын адамдарға берілетін мемлекеттік әлеуметтік жәрдемақылар, сондай-ақ мүгедек балаларды тәрбиелеп отырған ата-аналарға, қамқоршыларға берілетін жәрдемақылар, «Алтын алқа» алқаларымен наградталған немесе бұрын «Батыр ана» атақ алған, I және II дәрежелі  «Ана даңқы» ордендерімен марапатталған көп балалы аналарға берілетін жәрдемақылар) </w:t>
      </w:r>
      <w:r w:rsidRPr="00F4526D">
        <w:rPr>
          <w:sz w:val="28"/>
          <w:szCs w:val="28"/>
          <w:lang w:val="kk-KZ"/>
        </w:rPr>
        <w:t>арттыру жоспарлануда.</w:t>
      </w:r>
    </w:p>
    <w:p w:rsidR="00F4526D" w:rsidRPr="00F4526D" w:rsidRDefault="00F4526D" w:rsidP="00F4526D">
      <w:pPr>
        <w:ind w:firstLine="709"/>
        <w:jc w:val="both"/>
        <w:rPr>
          <w:sz w:val="28"/>
          <w:szCs w:val="28"/>
          <w:lang w:val="kk-KZ"/>
        </w:rPr>
      </w:pPr>
      <w:r w:rsidRPr="00F4526D">
        <w:rPr>
          <w:sz w:val="28"/>
          <w:szCs w:val="28"/>
          <w:lang w:val="kk-KZ"/>
        </w:rPr>
        <w:t>Осылайша, мемлекеттік жәрдемақылар мен әлеуметтік төлемдерді төлеудің қолданыстағы тетігі әлеуметтік тәуекелдер туындаған кезде уақтылы қолдау көрсетуге бағытталған.</w:t>
      </w:r>
    </w:p>
    <w:p w:rsidR="00F4526D" w:rsidRPr="00F4526D" w:rsidRDefault="00F4526D" w:rsidP="00F4526D">
      <w:pPr>
        <w:ind w:firstLine="709"/>
        <w:jc w:val="both"/>
        <w:rPr>
          <w:sz w:val="28"/>
          <w:szCs w:val="28"/>
          <w:lang w:val="kk-KZ"/>
        </w:rPr>
      </w:pPr>
      <w:r w:rsidRPr="00F4526D">
        <w:rPr>
          <w:sz w:val="28"/>
          <w:szCs w:val="28"/>
          <w:lang w:val="kk-KZ"/>
        </w:rPr>
        <w:t xml:space="preserve">Сонымен қатар аз қамтылған отбасыларға атаулы әлеуметтік көмек </w:t>
      </w:r>
      <w:r w:rsidRPr="009E6761">
        <w:rPr>
          <w:i/>
          <w:szCs w:val="28"/>
          <w:lang w:val="kk-KZ"/>
        </w:rPr>
        <w:t xml:space="preserve">(бұдан әрі – АӘК) </w:t>
      </w:r>
      <w:r w:rsidRPr="00F4526D">
        <w:rPr>
          <w:sz w:val="28"/>
          <w:szCs w:val="28"/>
          <w:lang w:val="kk-KZ"/>
        </w:rPr>
        <w:t>көрсетіледі, ол мұқтаж азаматтардың (отбасылардың) табысын кедейлік шегіне жеткізуді қамтамасыз ететін ең төменгі кепілдік берілген көлем болып табылады.</w:t>
      </w:r>
    </w:p>
    <w:p w:rsidR="00F4526D" w:rsidRPr="00F4526D" w:rsidRDefault="00F4526D" w:rsidP="00F4526D">
      <w:pPr>
        <w:ind w:firstLine="709"/>
        <w:jc w:val="both"/>
        <w:rPr>
          <w:sz w:val="28"/>
          <w:szCs w:val="28"/>
          <w:lang w:val="kk-KZ"/>
        </w:rPr>
      </w:pPr>
      <w:r w:rsidRPr="00F4526D">
        <w:rPr>
          <w:sz w:val="28"/>
          <w:szCs w:val="28"/>
          <w:lang w:val="kk-KZ"/>
        </w:rPr>
        <w:t>2020 жылдан бастап Мемлекет Басшысының тапсырмасын орындау мақсатында еңбекке қабілетті отбасы мүшелерінің жұмыспен қамту шараларына міндетті түрде қатысу және олармен әлеуметтік келісімшарт жасасу қағидатын күшейту жолымен ашықтықты, әділдікті және еңбекке ынталандыруды қамтамасыз ету мақсатында АӘК көрсету тетігі қайта қаралды.</w:t>
      </w:r>
    </w:p>
    <w:p w:rsidR="00F4526D" w:rsidRPr="00F4526D" w:rsidRDefault="00F4526D" w:rsidP="00F4526D">
      <w:pPr>
        <w:ind w:firstLine="709"/>
        <w:jc w:val="both"/>
        <w:rPr>
          <w:sz w:val="28"/>
          <w:szCs w:val="28"/>
          <w:lang w:val="kk-KZ"/>
        </w:rPr>
      </w:pPr>
      <w:r w:rsidRPr="00F4526D">
        <w:rPr>
          <w:sz w:val="28"/>
          <w:szCs w:val="28"/>
          <w:lang w:val="kk-KZ"/>
        </w:rPr>
        <w:t>АӘК тағайындауға өтініш берген кезде өтініш беруші тек жеке басын куәландыратын құжатты ұсынатынын айта кету керек. Қажетті деректерді жинауды жергілікті атқарушы орган мемлекеттік органдардың ақпараттық жүйелерінде бар мәліметтер негізінде орындайды. Олар болмаған кезде мемлекеттік органдарға жазбаша сұрау салу ресімделеді не өтініш берушінің оларды өз бетінше ұсынуға мүмкіндігі болады.</w:t>
      </w:r>
    </w:p>
    <w:p w:rsidR="00F4526D" w:rsidRPr="00F4526D" w:rsidRDefault="00F4526D" w:rsidP="00F4526D">
      <w:pPr>
        <w:ind w:firstLine="709"/>
        <w:jc w:val="both"/>
        <w:rPr>
          <w:sz w:val="28"/>
          <w:szCs w:val="28"/>
          <w:lang w:val="kk-KZ"/>
        </w:rPr>
      </w:pPr>
      <w:r w:rsidRPr="00F4526D">
        <w:rPr>
          <w:sz w:val="28"/>
          <w:szCs w:val="28"/>
          <w:lang w:val="kk-KZ"/>
        </w:rPr>
        <w:t>Осылайша, ақпараттық жүйелерде отбасы туралы деректер (отбасы құрамы, оларды тіркеу, кірістер және т.б. туралы мәліметтер) болған кезде АӘК тағайындау бойынша қиындықтар туындамайды.</w:t>
      </w:r>
    </w:p>
    <w:p w:rsidR="00F4526D" w:rsidRPr="009E6761" w:rsidRDefault="00F4526D" w:rsidP="00F4526D">
      <w:pPr>
        <w:ind w:firstLine="709"/>
        <w:jc w:val="both"/>
        <w:rPr>
          <w:sz w:val="28"/>
          <w:szCs w:val="28"/>
          <w:lang w:val="kk-KZ"/>
        </w:rPr>
      </w:pPr>
      <w:r w:rsidRPr="009E6761">
        <w:rPr>
          <w:sz w:val="28"/>
          <w:szCs w:val="28"/>
          <w:lang w:val="kk-KZ"/>
        </w:rPr>
        <w:t xml:space="preserve">Ағымдағы жылдың бірінші тоқсанында 456,7 мыңнан астам адам 87 мың аз қамтылған отбасы мемлекеттен қолдау алады. Осы мақсаттарға бюджеттен </w:t>
      </w:r>
      <w:r w:rsidR="009E6761" w:rsidRPr="009E6761">
        <w:rPr>
          <w:sz w:val="28"/>
          <w:szCs w:val="28"/>
          <w:lang w:val="kk-KZ"/>
        </w:rPr>
        <w:br/>
      </w:r>
      <w:r w:rsidRPr="009E6761">
        <w:rPr>
          <w:sz w:val="28"/>
          <w:szCs w:val="28"/>
          <w:lang w:val="kk-KZ"/>
        </w:rPr>
        <w:t xml:space="preserve">87 млрд. теңге қарастырылған </w:t>
      </w:r>
      <w:r w:rsidRPr="009E6761">
        <w:rPr>
          <w:i/>
          <w:szCs w:val="28"/>
          <w:lang w:val="kk-KZ"/>
        </w:rPr>
        <w:t>(АӘК - 72,4 млрд. теңге, балаларға қосымша төлем жасауға - 9,5 млрд. теңге)</w:t>
      </w:r>
      <w:r w:rsidRPr="009E6761">
        <w:rPr>
          <w:sz w:val="28"/>
          <w:szCs w:val="28"/>
          <w:lang w:val="kk-KZ"/>
        </w:rPr>
        <w:t>.</w:t>
      </w:r>
    </w:p>
    <w:p w:rsidR="00F4526D" w:rsidRPr="009E6761" w:rsidRDefault="00F4526D" w:rsidP="00F4526D">
      <w:pPr>
        <w:ind w:firstLine="709"/>
        <w:jc w:val="both"/>
        <w:rPr>
          <w:sz w:val="28"/>
          <w:szCs w:val="28"/>
          <w:lang w:val="kk-KZ"/>
        </w:rPr>
      </w:pPr>
      <w:r w:rsidRPr="009E6761">
        <w:rPr>
          <w:sz w:val="28"/>
          <w:szCs w:val="28"/>
          <w:lang w:val="kk-KZ"/>
        </w:rPr>
        <w:t>2023 жылғы 1 қаңтардан бастап 1 жастан 6 жасқа дейінгі балаларға АӘК алушылар қатарынан 1,5 айлық есептік көрсеткіш мөлшерінде қосымша төлем беріледі. Мәселен, 1-тоқсанда 137,3 мың балаға төлем тағайындалды.</w:t>
      </w:r>
    </w:p>
    <w:p w:rsidR="00F4526D" w:rsidRPr="009E6761" w:rsidRDefault="00F4526D" w:rsidP="00F4526D">
      <w:pPr>
        <w:ind w:firstLine="709"/>
        <w:jc w:val="both"/>
        <w:rPr>
          <w:sz w:val="28"/>
          <w:szCs w:val="28"/>
          <w:lang w:val="kk-KZ"/>
        </w:rPr>
      </w:pPr>
      <w:r w:rsidRPr="009E6761">
        <w:rPr>
          <w:sz w:val="28"/>
          <w:szCs w:val="28"/>
          <w:lang w:val="kk-KZ"/>
        </w:rPr>
        <w:t xml:space="preserve">Бұдан басқа, ағымдағы жылдың 1 қаңтарынан бастап Отбасының цифрлық картасы немесе қазақстандық отбасылардың мемлекеттік кепілдіктер бойынша </w:t>
      </w:r>
      <w:r w:rsidRPr="009E6761">
        <w:rPr>
          <w:sz w:val="28"/>
          <w:szCs w:val="28"/>
          <w:lang w:val="kk-KZ"/>
        </w:rPr>
        <w:lastRenderedPageBreak/>
        <w:t>дербестендірілген базасы енгізілді. Ол мемлекеттік органдардың барлық қолданыстағы ақпараттық жүйелерінің деректері негізінде қалыптастырылған.</w:t>
      </w:r>
    </w:p>
    <w:p w:rsidR="00F4526D" w:rsidRPr="009E6761" w:rsidRDefault="006B5D62" w:rsidP="004B6823">
      <w:pPr>
        <w:ind w:firstLine="709"/>
        <w:jc w:val="both"/>
        <w:rPr>
          <w:sz w:val="28"/>
          <w:szCs w:val="28"/>
          <w:lang w:val="kk-KZ"/>
        </w:rPr>
      </w:pPr>
      <w:r>
        <w:rPr>
          <w:sz w:val="28"/>
          <w:szCs w:val="28"/>
          <w:lang w:val="kk-KZ"/>
        </w:rPr>
        <w:t>Отбасының цифрлық картасының мәліметтері әлеуметтік қорғау шараларында мұқтаж отбасыларды (адамдарды) айқындау, оның ішінде проактивті мемлекеттік қызметтер көрсету үшін негіз болып табылады.</w:t>
      </w:r>
    </w:p>
    <w:p w:rsidR="00F4526D" w:rsidRPr="004B6823" w:rsidRDefault="004B6823" w:rsidP="00F4526D">
      <w:pPr>
        <w:ind w:firstLine="709"/>
        <w:jc w:val="both"/>
        <w:rPr>
          <w:i/>
          <w:szCs w:val="28"/>
          <w:lang w:val="kk-KZ"/>
        </w:rPr>
      </w:pPr>
      <w:r w:rsidRPr="004B6823">
        <w:rPr>
          <w:i/>
          <w:szCs w:val="28"/>
          <w:lang w:val="kk-KZ"/>
        </w:rPr>
        <w:t>Анықтама: 2023</w:t>
      </w:r>
      <w:r w:rsidR="00F4526D" w:rsidRPr="004B6823">
        <w:rPr>
          <w:i/>
          <w:szCs w:val="28"/>
          <w:lang w:val="kk-KZ"/>
        </w:rPr>
        <w:t xml:space="preserve"> жылдың </w:t>
      </w:r>
      <w:r w:rsidR="006B5D62">
        <w:rPr>
          <w:i/>
          <w:szCs w:val="28"/>
          <w:lang w:val="kk-KZ"/>
        </w:rPr>
        <w:t>3 мамырына</w:t>
      </w:r>
      <w:r w:rsidR="00F4526D" w:rsidRPr="004B6823">
        <w:rPr>
          <w:i/>
          <w:szCs w:val="28"/>
          <w:lang w:val="kk-KZ"/>
        </w:rPr>
        <w:t xml:space="preserve"> цифрлық картада 5</w:t>
      </w:r>
      <w:r w:rsidR="006B5D62">
        <w:rPr>
          <w:i/>
          <w:szCs w:val="28"/>
          <w:lang w:val="kk-KZ"/>
        </w:rPr>
        <w:t>8</w:t>
      </w:r>
      <w:r w:rsidR="00F4526D" w:rsidRPr="004B6823">
        <w:rPr>
          <w:i/>
          <w:szCs w:val="28"/>
          <w:lang w:val="kk-KZ"/>
        </w:rPr>
        <w:t xml:space="preserve"> мыңнан астам азаматтарға мемлекеттік төлемдер тағайындалған және төленуде.</w:t>
      </w:r>
    </w:p>
    <w:p w:rsidR="00F4526D" w:rsidRPr="009E6761" w:rsidRDefault="00F4526D" w:rsidP="00F4526D">
      <w:pPr>
        <w:ind w:firstLine="709"/>
        <w:jc w:val="both"/>
        <w:rPr>
          <w:sz w:val="28"/>
          <w:szCs w:val="28"/>
          <w:lang w:val="kk-KZ"/>
        </w:rPr>
      </w:pPr>
      <w:r w:rsidRPr="009E6761">
        <w:rPr>
          <w:sz w:val="28"/>
          <w:szCs w:val="28"/>
          <w:lang w:val="kk-KZ"/>
        </w:rPr>
        <w:t>Жоғарыда аталған шаралар мемлекеттік қолдау шараларын уақтылы ұсынуды қамтамасыз етуге және ықтимал әлеуметтік тәуекелдердің алдын алуға ғана емес, сонымен қатар мемлекеттің әлеуметтік саясатының орта мерзімді, ұзақ мерзімді міндеттері мен бағыттарының тиімділігін арттыруға мүмкіндік береді деп санаймыз.</w:t>
      </w:r>
    </w:p>
    <w:p w:rsidR="00F4526D" w:rsidRPr="009E6761" w:rsidRDefault="00F4526D" w:rsidP="00F4526D">
      <w:pPr>
        <w:ind w:firstLine="709"/>
        <w:jc w:val="both"/>
        <w:rPr>
          <w:sz w:val="28"/>
          <w:szCs w:val="28"/>
          <w:lang w:val="kk-KZ"/>
        </w:rPr>
      </w:pPr>
      <w:r w:rsidRPr="009E6761">
        <w:rPr>
          <w:sz w:val="28"/>
          <w:szCs w:val="28"/>
          <w:lang w:val="kk-KZ"/>
        </w:rPr>
        <w:t>Сондай-ақ Әлеуметтік кодекс шеңберінде халықтың орташа табысы негізінде кедейлік шегінің мөлшерін есептеу ұсынылады</w:t>
      </w:r>
      <w:r w:rsidR="004B6823">
        <w:rPr>
          <w:sz w:val="28"/>
          <w:szCs w:val="28"/>
          <w:lang w:val="kk-KZ"/>
        </w:rPr>
        <w:t xml:space="preserve">, ол әлеуметтік көмектің мөлшеріне </w:t>
      </w:r>
      <w:r w:rsidR="003533F6">
        <w:rPr>
          <w:sz w:val="28"/>
          <w:szCs w:val="28"/>
          <w:lang w:val="kk-KZ"/>
        </w:rPr>
        <w:t>әсер етеді</w:t>
      </w:r>
      <w:r w:rsidRPr="009E6761">
        <w:rPr>
          <w:sz w:val="28"/>
          <w:szCs w:val="28"/>
          <w:lang w:val="kk-KZ"/>
        </w:rPr>
        <w:t>. Қазақстанда мұндай әдістемені енгізу 2025 жылдан бастап жоспарлануда.</w:t>
      </w:r>
    </w:p>
    <w:p w:rsidR="00F4526D" w:rsidRPr="009E6761" w:rsidRDefault="00F4526D" w:rsidP="00F4526D">
      <w:pPr>
        <w:ind w:firstLine="709"/>
        <w:jc w:val="both"/>
        <w:rPr>
          <w:sz w:val="28"/>
          <w:szCs w:val="28"/>
          <w:lang w:val="kk-KZ"/>
        </w:rPr>
      </w:pPr>
      <w:r w:rsidRPr="009E6761">
        <w:rPr>
          <w:sz w:val="28"/>
          <w:szCs w:val="28"/>
          <w:lang w:val="kk-KZ"/>
        </w:rPr>
        <w:t>Бұл шара аз қамтылған халыққа әлеуметтік көмек мөлшеріне оң әсер етеді деп санаймыз.</w:t>
      </w:r>
    </w:p>
    <w:p w:rsidR="00F4526D" w:rsidRPr="009E6761" w:rsidRDefault="00F4526D" w:rsidP="00F4526D">
      <w:pPr>
        <w:ind w:firstLine="709"/>
        <w:jc w:val="both"/>
        <w:rPr>
          <w:sz w:val="28"/>
          <w:szCs w:val="28"/>
          <w:lang w:val="kk-KZ"/>
        </w:rPr>
      </w:pPr>
      <w:r w:rsidRPr="009E6761">
        <w:rPr>
          <w:sz w:val="28"/>
          <w:szCs w:val="28"/>
          <w:lang w:val="kk-KZ"/>
        </w:rPr>
        <w:t>Сонымен қатар 2019 жылғы АӘК-ті әрбір балаға белгіленген төлемді енгізу түріндегі көрсету тәжірибесі теріс әсер еткенін атап өткен жөн, атап айтқанда жалған ажырасулардың өсуіне, алимент мөлшерінің төмендеуіне, ата-ана міндеттемелерін орындаудан жалтаруға, жұмысқа орналасудан бас тартуға, аз қамтылған және тұрмысы нашар отбасылардың өсуіне және т.б. ықпал етті.</w:t>
      </w:r>
    </w:p>
    <w:p w:rsidR="00F4526D" w:rsidRDefault="00F4526D" w:rsidP="00F4526D">
      <w:pPr>
        <w:ind w:firstLine="709"/>
        <w:jc w:val="both"/>
        <w:rPr>
          <w:sz w:val="28"/>
          <w:szCs w:val="28"/>
          <w:lang w:val="kk-KZ"/>
        </w:rPr>
      </w:pPr>
      <w:r w:rsidRPr="009E6761">
        <w:rPr>
          <w:sz w:val="28"/>
          <w:szCs w:val="28"/>
          <w:lang w:val="kk-KZ"/>
        </w:rPr>
        <w:t xml:space="preserve">Осыған байланысты, әрбір балаға шартсыз балалар жәрдемақысын енгізу </w:t>
      </w:r>
      <w:r w:rsidR="00BA7B83">
        <w:rPr>
          <w:sz w:val="28"/>
          <w:szCs w:val="28"/>
          <w:lang w:val="kk-KZ"/>
        </w:rPr>
        <w:t xml:space="preserve">едәуір бюджет шығындарына және де </w:t>
      </w:r>
      <w:r w:rsidRPr="009E6761">
        <w:rPr>
          <w:sz w:val="28"/>
          <w:szCs w:val="28"/>
          <w:lang w:val="kk-KZ"/>
        </w:rPr>
        <w:t>әлеуметтік тәуелділікке алып келеді, бұл Мемлекет басшысының шынымен мұқтаж азаматтарға әлеуметтік қолдау көрсету және өз отбасы үшін жауапкершілігін арттыру бөлігіндегі тапсырмасына қайшы келеді.</w:t>
      </w:r>
    </w:p>
    <w:p w:rsidR="00433A3F" w:rsidRDefault="00433A3F" w:rsidP="00F4526D">
      <w:pPr>
        <w:ind w:firstLine="709"/>
        <w:jc w:val="both"/>
        <w:rPr>
          <w:sz w:val="28"/>
          <w:szCs w:val="28"/>
          <w:lang w:val="kk-KZ"/>
        </w:rPr>
      </w:pPr>
      <w:r>
        <w:rPr>
          <w:sz w:val="28"/>
          <w:szCs w:val="28"/>
          <w:lang w:val="kk-KZ"/>
        </w:rPr>
        <w:t>Жалпы Үкімет депутаттық корпустың халықты әлеуметтік қолдау жүйесін жақсартуға бағытталған ұсыныстарын қарауға дайын екендігін білдіреді.</w:t>
      </w:r>
    </w:p>
    <w:p w:rsidR="003533F6" w:rsidRPr="009E6761" w:rsidRDefault="00433A3F" w:rsidP="00433A3F">
      <w:pPr>
        <w:ind w:firstLine="709"/>
        <w:jc w:val="both"/>
        <w:rPr>
          <w:sz w:val="28"/>
          <w:szCs w:val="28"/>
          <w:lang w:val="kk-KZ"/>
        </w:rPr>
      </w:pPr>
      <w:r>
        <w:rPr>
          <w:sz w:val="28"/>
          <w:szCs w:val="28"/>
          <w:lang w:val="kk-KZ"/>
        </w:rPr>
        <w:t xml:space="preserve">Мәселе уәкілетті орган мен </w:t>
      </w:r>
      <w:r w:rsidR="003C368B" w:rsidRPr="003C368B">
        <w:rPr>
          <w:sz w:val="28"/>
          <w:szCs w:val="28"/>
          <w:lang w:val="kk-KZ"/>
        </w:rPr>
        <w:t>Үкіметтің тұрақты бақылауында.</w:t>
      </w:r>
    </w:p>
    <w:p w:rsidR="00037025" w:rsidRPr="00ED2A9D" w:rsidRDefault="00037025" w:rsidP="00037025">
      <w:pPr>
        <w:shd w:val="clear" w:color="auto" w:fill="FFFFFF"/>
        <w:ind w:firstLine="708"/>
        <w:jc w:val="both"/>
        <w:rPr>
          <w:sz w:val="28"/>
          <w:szCs w:val="28"/>
          <w:lang w:val="kk-KZ"/>
        </w:rPr>
      </w:pPr>
    </w:p>
    <w:p w:rsidR="00037025" w:rsidRPr="00ED2A9D" w:rsidRDefault="00037025" w:rsidP="00037025">
      <w:pPr>
        <w:pStyle w:val="ab"/>
        <w:spacing w:after="0"/>
        <w:ind w:left="0" w:firstLine="709"/>
        <w:jc w:val="right"/>
        <w:rPr>
          <w:b/>
          <w:sz w:val="28"/>
          <w:szCs w:val="28"/>
          <w:lang w:val="kk-KZ"/>
        </w:rPr>
      </w:pPr>
    </w:p>
    <w:p w:rsidR="00037025" w:rsidRPr="00037025" w:rsidRDefault="00037025" w:rsidP="00037025">
      <w:pPr>
        <w:pStyle w:val="ab"/>
        <w:spacing w:after="0"/>
        <w:ind w:left="0" w:firstLine="709"/>
        <w:jc w:val="right"/>
        <w:rPr>
          <w:b/>
          <w:sz w:val="28"/>
          <w:szCs w:val="28"/>
        </w:rPr>
      </w:pPr>
      <w:r w:rsidRPr="00037025">
        <w:rPr>
          <w:b/>
          <w:sz w:val="28"/>
          <w:szCs w:val="28"/>
        </w:rPr>
        <w:t>А. К</w:t>
      </w:r>
      <w:r w:rsidR="00A5119F">
        <w:rPr>
          <w:b/>
          <w:sz w:val="28"/>
          <w:szCs w:val="28"/>
          <w:lang w:val="kk-KZ"/>
        </w:rPr>
        <w:t>өлгінов</w:t>
      </w:r>
    </w:p>
    <w:p w:rsidR="00037025" w:rsidRDefault="00037025" w:rsidP="00037025">
      <w:pPr>
        <w:shd w:val="clear" w:color="auto" w:fill="FFFFFF"/>
        <w:jc w:val="both"/>
        <w:rPr>
          <w:b/>
          <w:sz w:val="28"/>
          <w:szCs w:val="28"/>
        </w:rPr>
      </w:pPr>
    </w:p>
    <w:p w:rsidR="00037025" w:rsidRDefault="00037025" w:rsidP="00037025">
      <w:pPr>
        <w:shd w:val="clear" w:color="auto" w:fill="FFFFFF"/>
        <w:jc w:val="both"/>
        <w:rPr>
          <w:b/>
          <w:sz w:val="28"/>
          <w:szCs w:val="28"/>
        </w:rPr>
      </w:pPr>
    </w:p>
    <w:p w:rsidR="00A768C6" w:rsidRDefault="00A768C6" w:rsidP="00037025">
      <w:pPr>
        <w:shd w:val="clear" w:color="auto" w:fill="FFFFFF"/>
        <w:jc w:val="both"/>
        <w:rPr>
          <w:b/>
          <w:sz w:val="28"/>
          <w:szCs w:val="28"/>
        </w:rPr>
      </w:pPr>
    </w:p>
    <w:p w:rsidR="00433A3F" w:rsidRDefault="00433A3F" w:rsidP="00037025">
      <w:pPr>
        <w:shd w:val="clear" w:color="auto" w:fill="FFFFFF"/>
        <w:jc w:val="both"/>
        <w:rPr>
          <w:b/>
          <w:sz w:val="28"/>
          <w:szCs w:val="28"/>
        </w:rPr>
      </w:pPr>
    </w:p>
    <w:p w:rsidR="00433A3F" w:rsidRDefault="00433A3F" w:rsidP="00037025">
      <w:pPr>
        <w:shd w:val="clear" w:color="auto" w:fill="FFFFFF"/>
        <w:jc w:val="both"/>
        <w:rPr>
          <w:b/>
          <w:sz w:val="28"/>
          <w:szCs w:val="28"/>
        </w:rPr>
      </w:pPr>
    </w:p>
    <w:p w:rsidR="00433A3F" w:rsidRDefault="00433A3F" w:rsidP="00037025">
      <w:pPr>
        <w:shd w:val="clear" w:color="auto" w:fill="FFFFFF"/>
        <w:jc w:val="both"/>
        <w:rPr>
          <w:b/>
          <w:sz w:val="28"/>
          <w:szCs w:val="28"/>
        </w:rPr>
      </w:pPr>
    </w:p>
    <w:p w:rsidR="00433A3F" w:rsidRDefault="00433A3F" w:rsidP="00037025">
      <w:pPr>
        <w:shd w:val="clear" w:color="auto" w:fill="FFFFFF"/>
        <w:jc w:val="both"/>
        <w:rPr>
          <w:b/>
          <w:sz w:val="28"/>
          <w:szCs w:val="28"/>
        </w:rPr>
      </w:pPr>
    </w:p>
    <w:p w:rsidR="00433A3F" w:rsidRDefault="00433A3F" w:rsidP="00037025">
      <w:pPr>
        <w:shd w:val="clear" w:color="auto" w:fill="FFFFFF"/>
        <w:jc w:val="both"/>
        <w:rPr>
          <w:b/>
          <w:sz w:val="28"/>
          <w:szCs w:val="28"/>
        </w:rPr>
      </w:pPr>
    </w:p>
    <w:p w:rsidR="00A768C6" w:rsidRDefault="00A768C6" w:rsidP="00037025">
      <w:pPr>
        <w:shd w:val="clear" w:color="auto" w:fill="FFFFFF"/>
        <w:jc w:val="both"/>
        <w:rPr>
          <w:b/>
          <w:sz w:val="28"/>
          <w:szCs w:val="28"/>
        </w:rPr>
      </w:pPr>
    </w:p>
    <w:p w:rsidR="00037025" w:rsidRDefault="00A5119F" w:rsidP="00037025">
      <w:pPr>
        <w:shd w:val="clear" w:color="auto" w:fill="FFFFFF"/>
        <w:jc w:val="both"/>
        <w:rPr>
          <w:b/>
          <w:sz w:val="22"/>
          <w:szCs w:val="28"/>
        </w:rPr>
      </w:pPr>
      <w:r>
        <w:rPr>
          <w:i/>
          <w:sz w:val="16"/>
          <w:szCs w:val="28"/>
          <w:lang w:val="kk-KZ"/>
        </w:rPr>
        <w:t>Орын</w:t>
      </w:r>
      <w:r w:rsidR="00037025">
        <w:rPr>
          <w:i/>
          <w:sz w:val="16"/>
          <w:szCs w:val="28"/>
          <w:lang w:val="kk-KZ"/>
        </w:rPr>
        <w:t xml:space="preserve">. Ж.Даулетханова, 74-53-71 </w:t>
      </w:r>
    </w:p>
    <w:p w:rsidR="00037025" w:rsidRPr="00037025" w:rsidRDefault="00037025" w:rsidP="00037025">
      <w:pPr>
        <w:tabs>
          <w:tab w:val="left" w:pos="1910"/>
        </w:tabs>
      </w:pPr>
    </w:p>
    <w:p w:rsidR="008341C9" w:rsidRPr="00037025" w:rsidRDefault="008341C9" w:rsidP="00037025">
      <w:pPr>
        <w:ind w:right="140"/>
      </w:pPr>
    </w:p>
    <w:p w:rsidR="008341C9" w:rsidRDefault="008341C9" w:rsidP="00037025">
      <w:pPr>
        <w:ind w:right="140"/>
        <w:rPr>
          <w:lang w:val="kk-KZ"/>
        </w:rPr>
      </w:pPr>
    </w:p>
    <w:p w:rsidR="008341C9" w:rsidRDefault="008341C9" w:rsidP="00037025">
      <w:pPr>
        <w:ind w:right="140"/>
        <w:rPr>
          <w:lang w:val="kk-KZ"/>
        </w:rPr>
      </w:pPr>
    </w:p>
    <w:p w:rsidR="00BA7B83" w:rsidRDefault="00BA7B83" w:rsidP="00037025">
      <w:pPr>
        <w:ind w:right="140"/>
        <w:rPr>
          <w:lang w:val="kk-KZ"/>
        </w:rPr>
      </w:pPr>
    </w:p>
    <w:p w:rsidR="008B6E88" w:rsidRDefault="008B6E88" w:rsidP="008B6E88">
      <w:pPr>
        <w:shd w:val="clear" w:color="auto" w:fill="FFFFFF"/>
        <w:rPr>
          <w:b/>
          <w:sz w:val="28"/>
          <w:szCs w:val="28"/>
          <w:lang w:val="kk-KZ"/>
        </w:rPr>
      </w:pPr>
    </w:p>
    <w:p w:rsidR="00A5119F" w:rsidRDefault="00A5119F" w:rsidP="00A5119F">
      <w:pPr>
        <w:ind w:firstLine="708"/>
        <w:jc w:val="center"/>
        <w:rPr>
          <w:b/>
          <w:sz w:val="28"/>
          <w:szCs w:val="28"/>
          <w:lang w:val="kk-KZ"/>
        </w:rPr>
      </w:pPr>
      <w:r>
        <w:rPr>
          <w:b/>
          <w:sz w:val="28"/>
          <w:szCs w:val="28"/>
          <w:lang w:val="kk-KZ"/>
        </w:rPr>
        <w:t>Қазақстан Республикасы</w:t>
      </w:r>
    </w:p>
    <w:p w:rsidR="00A5119F" w:rsidRDefault="00A5119F" w:rsidP="00A5119F">
      <w:pPr>
        <w:ind w:firstLine="708"/>
        <w:jc w:val="center"/>
        <w:rPr>
          <w:b/>
          <w:sz w:val="28"/>
          <w:szCs w:val="28"/>
          <w:lang w:val="kk-KZ"/>
        </w:rPr>
      </w:pPr>
      <w:r w:rsidRPr="009468EA">
        <w:rPr>
          <w:b/>
          <w:sz w:val="28"/>
          <w:szCs w:val="28"/>
          <w:lang w:val="kk-KZ"/>
        </w:rPr>
        <w:t>Парламент</w:t>
      </w:r>
      <w:r>
        <w:rPr>
          <w:b/>
          <w:sz w:val="28"/>
          <w:szCs w:val="28"/>
          <w:lang w:val="kk-KZ"/>
        </w:rPr>
        <w:t>і</w:t>
      </w:r>
      <w:r w:rsidRPr="009468EA">
        <w:rPr>
          <w:b/>
          <w:sz w:val="28"/>
          <w:szCs w:val="28"/>
          <w:lang w:val="kk-KZ"/>
        </w:rPr>
        <w:t xml:space="preserve"> Мәжілісінің </w:t>
      </w:r>
      <w:r>
        <w:rPr>
          <w:b/>
          <w:sz w:val="28"/>
          <w:szCs w:val="28"/>
          <w:lang w:val="kk-KZ"/>
        </w:rPr>
        <w:t>д</w:t>
      </w:r>
      <w:r w:rsidRPr="009468EA">
        <w:rPr>
          <w:b/>
          <w:sz w:val="28"/>
          <w:szCs w:val="28"/>
          <w:lang w:val="kk-KZ"/>
        </w:rPr>
        <w:t>епутаттары</w:t>
      </w:r>
    </w:p>
    <w:p w:rsidR="00A5119F" w:rsidRDefault="00A5119F" w:rsidP="00A5119F">
      <w:pPr>
        <w:ind w:firstLine="708"/>
        <w:rPr>
          <w:b/>
          <w:sz w:val="28"/>
          <w:szCs w:val="28"/>
          <w:lang w:val="kk-KZ"/>
        </w:rPr>
      </w:pPr>
    </w:p>
    <w:p w:rsidR="00A5119F" w:rsidRDefault="00A5119F" w:rsidP="00A5119F">
      <w:pPr>
        <w:ind w:firstLine="708"/>
        <w:rPr>
          <w:b/>
          <w:sz w:val="28"/>
          <w:szCs w:val="28"/>
          <w:lang w:val="kk-KZ"/>
        </w:rPr>
      </w:pPr>
    </w:p>
    <w:p w:rsidR="00A5119F" w:rsidRDefault="00A5119F" w:rsidP="00A5119F">
      <w:pPr>
        <w:jc w:val="both"/>
        <w:rPr>
          <w:b/>
          <w:sz w:val="28"/>
          <w:szCs w:val="28"/>
          <w:lang w:val="kk-KZ"/>
        </w:rPr>
      </w:pPr>
      <w:r>
        <w:rPr>
          <w:b/>
          <w:sz w:val="28"/>
          <w:szCs w:val="28"/>
          <w:lang w:val="kk-KZ"/>
        </w:rPr>
        <w:t xml:space="preserve"> «</w:t>
      </w:r>
      <w:r w:rsidRPr="00255732">
        <w:rPr>
          <w:b/>
          <w:sz w:val="28"/>
          <w:szCs w:val="28"/>
          <w:lang w:val="kk-KZ"/>
        </w:rPr>
        <w:t>Қазақстан Халық партиясы</w:t>
      </w:r>
      <w:r>
        <w:rPr>
          <w:b/>
          <w:sz w:val="28"/>
          <w:szCs w:val="28"/>
          <w:lang w:val="kk-KZ"/>
        </w:rPr>
        <w:t>» фракциясының мүшелері</w:t>
      </w:r>
    </w:p>
    <w:p w:rsidR="00A5119F" w:rsidRPr="00A5119F" w:rsidRDefault="00A5119F" w:rsidP="00A5119F">
      <w:pPr>
        <w:jc w:val="both"/>
        <w:rPr>
          <w:sz w:val="28"/>
          <w:szCs w:val="28"/>
          <w:lang w:val="kk-KZ"/>
        </w:rPr>
      </w:pPr>
      <w:r w:rsidRPr="00A5119F">
        <w:rPr>
          <w:sz w:val="28"/>
          <w:szCs w:val="28"/>
          <w:lang w:val="kk-KZ"/>
        </w:rPr>
        <w:t>Г. Танашева</w:t>
      </w:r>
    </w:p>
    <w:p w:rsidR="00A5119F" w:rsidRPr="00A5119F" w:rsidRDefault="00A5119F" w:rsidP="00A5119F">
      <w:pPr>
        <w:jc w:val="both"/>
        <w:rPr>
          <w:sz w:val="28"/>
          <w:szCs w:val="28"/>
          <w:lang w:val="kk-KZ"/>
        </w:rPr>
      </w:pPr>
      <w:r w:rsidRPr="00A5119F">
        <w:rPr>
          <w:sz w:val="28"/>
          <w:szCs w:val="28"/>
          <w:lang w:val="kk-KZ"/>
        </w:rPr>
        <w:t>М. Магеррамов</w:t>
      </w:r>
    </w:p>
    <w:p w:rsidR="00A5119F" w:rsidRPr="00A5119F" w:rsidRDefault="00A5119F" w:rsidP="00A5119F">
      <w:pPr>
        <w:jc w:val="both"/>
        <w:rPr>
          <w:sz w:val="28"/>
          <w:szCs w:val="28"/>
          <w:lang w:val="kk-KZ"/>
        </w:rPr>
      </w:pPr>
      <w:r w:rsidRPr="00A5119F">
        <w:rPr>
          <w:sz w:val="28"/>
          <w:szCs w:val="28"/>
          <w:lang w:val="kk-KZ"/>
        </w:rPr>
        <w:t>И. Смирнова</w:t>
      </w:r>
    </w:p>
    <w:p w:rsidR="00A5119F" w:rsidRPr="00A5119F" w:rsidRDefault="00A5119F" w:rsidP="00A5119F">
      <w:pPr>
        <w:jc w:val="both"/>
        <w:rPr>
          <w:sz w:val="28"/>
          <w:szCs w:val="28"/>
          <w:lang w:val="kk-KZ"/>
        </w:rPr>
      </w:pPr>
      <w:r w:rsidRPr="00A5119F">
        <w:rPr>
          <w:sz w:val="28"/>
          <w:szCs w:val="28"/>
          <w:lang w:val="kk-KZ"/>
        </w:rPr>
        <w:t xml:space="preserve">Қ. Сейітжан                                                                                    </w:t>
      </w:r>
    </w:p>
    <w:p w:rsidR="00A5119F" w:rsidRPr="00A5119F" w:rsidRDefault="00A5119F" w:rsidP="00A5119F">
      <w:pPr>
        <w:jc w:val="both"/>
        <w:rPr>
          <w:sz w:val="28"/>
          <w:szCs w:val="28"/>
          <w:lang w:val="kk-KZ"/>
        </w:rPr>
      </w:pPr>
      <w:r w:rsidRPr="00A5119F">
        <w:rPr>
          <w:sz w:val="28"/>
          <w:szCs w:val="28"/>
          <w:lang w:val="kk-KZ"/>
        </w:rPr>
        <w:t>И. Сұңқар</w:t>
      </w:r>
    </w:p>
    <w:p w:rsidR="00A5119F" w:rsidRDefault="00A5119F" w:rsidP="00A5119F">
      <w:pPr>
        <w:rPr>
          <w:b/>
          <w:sz w:val="28"/>
          <w:szCs w:val="28"/>
          <w:lang w:val="kk-KZ"/>
        </w:rPr>
      </w:pPr>
    </w:p>
    <w:p w:rsidR="00A5119F" w:rsidRDefault="00A5119F" w:rsidP="00A5119F">
      <w:pPr>
        <w:ind w:left="709" w:hanging="709"/>
        <w:rPr>
          <w:b/>
          <w:sz w:val="28"/>
          <w:szCs w:val="28"/>
          <w:lang w:val="kk-KZ"/>
        </w:rPr>
      </w:pPr>
      <w:r w:rsidRPr="00092A9A">
        <w:rPr>
          <w:b/>
          <w:color w:val="262626"/>
          <w:sz w:val="28"/>
          <w:szCs w:val="28"/>
          <w:shd w:val="clear" w:color="auto" w:fill="FFFFFF"/>
          <w:lang w:val="kk-KZ"/>
        </w:rPr>
        <w:t>«AMANAT» партиясы</w:t>
      </w:r>
      <w:r>
        <w:rPr>
          <w:b/>
          <w:color w:val="262626"/>
          <w:sz w:val="28"/>
          <w:szCs w:val="28"/>
          <w:shd w:val="clear" w:color="auto" w:fill="FFFFFF"/>
          <w:lang w:val="kk-KZ"/>
        </w:rPr>
        <w:t xml:space="preserve"> </w:t>
      </w:r>
      <w:r w:rsidRPr="00092A9A">
        <w:rPr>
          <w:b/>
          <w:color w:val="262626"/>
          <w:sz w:val="28"/>
          <w:szCs w:val="28"/>
          <w:shd w:val="clear" w:color="auto" w:fill="FFFFFF"/>
          <w:lang w:val="kk-KZ"/>
        </w:rPr>
        <w:t>фракциясының мүше</w:t>
      </w:r>
      <w:r>
        <w:rPr>
          <w:b/>
          <w:color w:val="262626"/>
          <w:sz w:val="28"/>
          <w:szCs w:val="28"/>
          <w:shd w:val="clear" w:color="auto" w:fill="FFFFFF"/>
          <w:lang w:val="kk-KZ"/>
        </w:rPr>
        <w:t>лері</w:t>
      </w:r>
      <w:r w:rsidRPr="00C47852">
        <w:rPr>
          <w:b/>
          <w:sz w:val="28"/>
          <w:szCs w:val="28"/>
          <w:lang w:val="kk-KZ"/>
        </w:rPr>
        <w:t xml:space="preserve"> </w:t>
      </w:r>
      <w:r>
        <w:rPr>
          <w:b/>
          <w:sz w:val="28"/>
          <w:szCs w:val="28"/>
          <w:lang w:val="kk-KZ"/>
        </w:rPr>
        <w:t xml:space="preserve">                                            </w:t>
      </w:r>
    </w:p>
    <w:p w:rsidR="00A5119F" w:rsidRDefault="00A5119F" w:rsidP="00A5119F">
      <w:pPr>
        <w:rPr>
          <w:sz w:val="28"/>
          <w:szCs w:val="28"/>
          <w:lang w:val="kk-KZ"/>
        </w:rPr>
      </w:pPr>
      <w:r w:rsidRPr="00A5119F">
        <w:rPr>
          <w:sz w:val="28"/>
          <w:szCs w:val="28"/>
          <w:lang w:val="kk-KZ"/>
        </w:rPr>
        <w:t>Н. Сәрсенғалиев</w:t>
      </w:r>
    </w:p>
    <w:p w:rsidR="00A5119F" w:rsidRPr="00A5119F" w:rsidRDefault="00A5119F" w:rsidP="00A5119F">
      <w:pPr>
        <w:rPr>
          <w:sz w:val="28"/>
          <w:szCs w:val="28"/>
          <w:lang w:val="kk-KZ"/>
        </w:rPr>
      </w:pPr>
      <w:r w:rsidRPr="00A5119F">
        <w:rPr>
          <w:color w:val="262626"/>
          <w:sz w:val="28"/>
          <w:szCs w:val="28"/>
          <w:shd w:val="clear" w:color="auto" w:fill="FFFFFF"/>
          <w:lang w:val="kk-KZ"/>
        </w:rPr>
        <w:t>Е. Әбдиев</w:t>
      </w:r>
    </w:p>
    <w:p w:rsidR="00A5119F" w:rsidRDefault="00A5119F" w:rsidP="00A5119F">
      <w:pPr>
        <w:jc w:val="both"/>
        <w:rPr>
          <w:b/>
          <w:sz w:val="28"/>
          <w:szCs w:val="28"/>
          <w:lang w:val="kk-KZ"/>
        </w:rPr>
      </w:pPr>
    </w:p>
    <w:p w:rsidR="00A5119F" w:rsidRDefault="00A5119F" w:rsidP="00A5119F">
      <w:pPr>
        <w:jc w:val="both"/>
        <w:rPr>
          <w:b/>
          <w:bCs/>
          <w:color w:val="222222"/>
          <w:sz w:val="28"/>
          <w:szCs w:val="28"/>
          <w:lang w:val="kk-KZ"/>
        </w:rPr>
      </w:pPr>
      <w:r>
        <w:rPr>
          <w:b/>
          <w:bCs/>
          <w:color w:val="222222"/>
          <w:sz w:val="28"/>
          <w:szCs w:val="28"/>
          <w:lang w:val="kk-KZ"/>
        </w:rPr>
        <w:t>«Ақ жол» партиясының мүшесі</w:t>
      </w:r>
    </w:p>
    <w:p w:rsidR="00A5119F" w:rsidRPr="00A5119F" w:rsidRDefault="00A5119F" w:rsidP="00A5119F">
      <w:pPr>
        <w:jc w:val="both"/>
        <w:rPr>
          <w:bCs/>
          <w:color w:val="222222"/>
          <w:sz w:val="28"/>
          <w:szCs w:val="28"/>
          <w:lang w:val="kk-KZ"/>
        </w:rPr>
      </w:pPr>
      <w:r w:rsidRPr="00A5119F">
        <w:rPr>
          <w:bCs/>
          <w:color w:val="222222"/>
          <w:sz w:val="28"/>
          <w:szCs w:val="28"/>
          <w:lang w:val="kk-KZ"/>
        </w:rPr>
        <w:t>Қ. Иса</w:t>
      </w:r>
    </w:p>
    <w:p w:rsidR="008341C9" w:rsidRDefault="008341C9" w:rsidP="008B6E88">
      <w:pPr>
        <w:ind w:right="140"/>
        <w:rPr>
          <w:lang w:val="kk-KZ"/>
        </w:rPr>
      </w:pPr>
    </w:p>
    <w:sectPr w:rsidR="008341C9" w:rsidSect="00EB59DD">
      <w:headerReference w:type="default" r:id="rId6"/>
      <w:headerReference w:type="first" r:id="rId7"/>
      <w:pgSz w:w="11906" w:h="16838"/>
      <w:pgMar w:top="567" w:right="849" w:bottom="993"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72" w:rsidRDefault="007C2272" w:rsidP="00F55F2E">
      <w:r>
        <w:separator/>
      </w:r>
    </w:p>
  </w:endnote>
  <w:endnote w:type="continuationSeparator" w:id="0">
    <w:p w:rsidR="007C2272" w:rsidRDefault="007C2272"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72" w:rsidRDefault="007C2272" w:rsidP="00F55F2E">
      <w:r>
        <w:separator/>
      </w:r>
    </w:p>
  </w:footnote>
  <w:footnote w:type="continuationSeparator" w:id="0">
    <w:p w:rsidR="007C2272" w:rsidRDefault="007C2272"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D" w:rsidRDefault="00EB59DD">
    <w:pPr>
      <w:pStyle w:val="a5"/>
      <w:jc w:val="center"/>
    </w:pPr>
  </w:p>
  <w:p w:rsidR="00EB59DD" w:rsidRDefault="00847FA0">
    <w:pPr>
      <w:pStyle w:val="a5"/>
      <w:jc w:val="center"/>
    </w:pPr>
    <w:sdt>
      <w:sdtPr>
        <w:id w:val="1971624882"/>
        <w:docPartObj>
          <w:docPartGallery w:val="Page Numbers (Top of Page)"/>
          <w:docPartUnique/>
        </w:docPartObj>
      </w:sdtPr>
      <w:sdtEndPr/>
      <w:sdtContent>
        <w:r w:rsidR="00EB59DD">
          <w:fldChar w:fldCharType="begin"/>
        </w:r>
        <w:r w:rsidR="00EB59DD">
          <w:instrText>PAGE   \* MERGEFORMAT</w:instrText>
        </w:r>
        <w:r w:rsidR="00EB59DD">
          <w:fldChar w:fldCharType="separate"/>
        </w:r>
        <w:r>
          <w:rPr>
            <w:noProof/>
          </w:rPr>
          <w:t>4</w:t>
        </w:r>
        <w:r w:rsidR="00EB59DD">
          <w:fldChar w:fldCharType="end"/>
        </w:r>
      </w:sdtContent>
    </w:sdt>
  </w:p>
  <w:p w:rsidR="00EB59DD" w:rsidRDefault="00EB59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44" w:rsidRDefault="003E0E42">
    <w:pPr>
      <w:pStyle w:val="a5"/>
    </w:pPr>
    <w:r>
      <w:rPr>
        <w:noProof/>
      </w:rPr>
      <w:drawing>
        <wp:inline distT="0" distB="0" distL="0" distR="0">
          <wp:extent cx="6477000" cy="1895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37025"/>
    <w:rsid w:val="000802D8"/>
    <w:rsid w:val="000A2792"/>
    <w:rsid w:val="0015293D"/>
    <w:rsid w:val="0016401B"/>
    <w:rsid w:val="00217544"/>
    <w:rsid w:val="002863B6"/>
    <w:rsid w:val="002C13C5"/>
    <w:rsid w:val="003533F6"/>
    <w:rsid w:val="003C368B"/>
    <w:rsid w:val="003E0E42"/>
    <w:rsid w:val="00433A3F"/>
    <w:rsid w:val="004B6823"/>
    <w:rsid w:val="004D7ACB"/>
    <w:rsid w:val="004E07EE"/>
    <w:rsid w:val="0053529D"/>
    <w:rsid w:val="00542F6E"/>
    <w:rsid w:val="00572F9E"/>
    <w:rsid w:val="005A034D"/>
    <w:rsid w:val="006B5D62"/>
    <w:rsid w:val="006D5C56"/>
    <w:rsid w:val="006E0946"/>
    <w:rsid w:val="007C2272"/>
    <w:rsid w:val="007E6854"/>
    <w:rsid w:val="008341C9"/>
    <w:rsid w:val="00847FA0"/>
    <w:rsid w:val="008B59F1"/>
    <w:rsid w:val="008B6E88"/>
    <w:rsid w:val="008C668C"/>
    <w:rsid w:val="008F1A8B"/>
    <w:rsid w:val="009E6761"/>
    <w:rsid w:val="00A00C96"/>
    <w:rsid w:val="00A40F19"/>
    <w:rsid w:val="00A5119F"/>
    <w:rsid w:val="00A768C6"/>
    <w:rsid w:val="00BA7B83"/>
    <w:rsid w:val="00C05554"/>
    <w:rsid w:val="00CD0420"/>
    <w:rsid w:val="00CD0550"/>
    <w:rsid w:val="00D81F07"/>
    <w:rsid w:val="00D90060"/>
    <w:rsid w:val="00DF1E95"/>
    <w:rsid w:val="00EA070E"/>
    <w:rsid w:val="00EB59DD"/>
    <w:rsid w:val="00ED2A9D"/>
    <w:rsid w:val="00F4167B"/>
    <w:rsid w:val="00F4526D"/>
    <w:rsid w:val="00F55F2E"/>
    <w:rsid w:val="00FE475C"/>
    <w:rsid w:val="00FF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A5B9F3-BB7F-4FF2-A0E3-74F20E3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1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character" w:customStyle="1" w:styleId="a9">
    <w:name w:val="Без интервала Знак"/>
    <w:aliases w:val="мелкий Знак,мой рабочий Знак,Обя Знак,норма Знак,Айгерим Знак,No Spacing Знак,свой Знак,No Spacing1 Знак,Без интервала1 Знак,14 TNR Знак,Без интервала11 Знак,МОЙ СТИЛЬ Знак,Без интервала2 Знак,Без интеБез интервала Знак,Елжан Знак"/>
    <w:link w:val="aa"/>
    <w:uiPriority w:val="1"/>
    <w:locked/>
    <w:rsid w:val="008341C9"/>
  </w:style>
  <w:style w:type="paragraph" w:styleId="aa">
    <w:name w:val="No Spacing"/>
    <w:aliases w:val="мелкий,мой рабочий,Обя,норма,Айгерим,No Spacing,свой,No Spacing1,Без интервала1,14 TNR,Без интервала11,МОЙ СТИЛЬ,Без интервала2,Без интеБез интервала,Елжан,без интервала,Простой,исполнитель,No Spacing11,Без интервала111,Без интерваль"/>
    <w:link w:val="a9"/>
    <w:uiPriority w:val="1"/>
    <w:qFormat/>
    <w:rsid w:val="008341C9"/>
    <w:pPr>
      <w:spacing w:after="0" w:line="240" w:lineRule="auto"/>
    </w:pPr>
  </w:style>
  <w:style w:type="paragraph" w:styleId="ab">
    <w:name w:val="Body Text Indent"/>
    <w:basedOn w:val="a"/>
    <w:link w:val="ac"/>
    <w:unhideWhenUsed/>
    <w:rsid w:val="00037025"/>
    <w:pPr>
      <w:spacing w:after="120"/>
      <w:ind w:left="283"/>
    </w:pPr>
  </w:style>
  <w:style w:type="character" w:customStyle="1" w:styleId="ac">
    <w:name w:val="Основной текст с отступом Знак"/>
    <w:basedOn w:val="a0"/>
    <w:link w:val="ab"/>
    <w:rsid w:val="000370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555549022">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 w:id="19226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Утешева Салтанат</cp:lastModifiedBy>
  <cp:revision>3</cp:revision>
  <cp:lastPrinted>2023-04-24T12:42:00Z</cp:lastPrinted>
  <dcterms:created xsi:type="dcterms:W3CDTF">2023-05-04T05:10:00Z</dcterms:created>
  <dcterms:modified xsi:type="dcterms:W3CDTF">2023-05-05T02:58:00Z</dcterms:modified>
</cp:coreProperties>
</file>