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84585F" w:rsidRPr="00AD45D0" w:rsidP="0084585F">
      <w:pPr>
        <w:shd w:val="clear" w:color="auto" w:fill="FFFFFF"/>
        <w:rPr>
          <w:b/>
          <w:bCs/>
          <w:color w:val="000000"/>
          <w:sz w:val="36"/>
          <w:szCs w:val="36"/>
          <w:lang w:val="ru-RU"/>
        </w:rPr>
      </w:pPr>
    </w:p>
    <w:p w:rsidR="00AD45D0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AD45D0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Депутатам</w:t>
      </w:r>
    </w:p>
    <w:p w:rsidR="00C4515C" w:rsidRPr="00C4515C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Мажилиса Парламента</w:t>
      </w:r>
    </w:p>
    <w:p w:rsidR="00C4515C" w:rsidRPr="00C4515C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Республики Казахстан</w:t>
      </w:r>
    </w:p>
    <w:p w:rsidR="00C4515C" w:rsidRPr="00C4515C" w:rsidP="00C4515C">
      <w:pPr>
        <w:shd w:val="clear" w:color="auto" w:fill="FFFFFF"/>
        <w:ind w:firstLine="6096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– членам фракций</w:t>
      </w:r>
    </w:p>
    <w:p w:rsidR="00C4515C" w:rsidRPr="00C4515C" w:rsidP="00C4515C">
      <w:pPr>
        <w:shd w:val="clear" w:color="auto" w:fill="FFFFFF"/>
        <w:ind w:left="5529" w:firstLine="567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партий «AMANAT» и «Народная партия Казахстана»</w:t>
      </w:r>
    </w:p>
    <w:p w:rsidR="00C4515C" w:rsidRPr="00AD45D0" w:rsidP="00C4515C">
      <w:pPr>
        <w:shd w:val="clear" w:color="auto" w:fill="FFFFFF"/>
        <w:ind w:firstLine="6096"/>
        <w:jc w:val="both"/>
        <w:rPr>
          <w:b/>
          <w:bCs/>
          <w:color w:val="000000"/>
          <w:sz w:val="32"/>
          <w:szCs w:val="32"/>
          <w:lang w:val="ru-RU"/>
        </w:rPr>
      </w:pPr>
    </w:p>
    <w:p w:rsidR="00C4515C" w:rsidRPr="00AD45D0" w:rsidP="00C4515C">
      <w:pPr>
        <w:shd w:val="clear" w:color="auto" w:fill="FFFFFF"/>
        <w:ind w:firstLine="6096"/>
        <w:jc w:val="both"/>
        <w:rPr>
          <w:bCs/>
          <w:color w:val="000000"/>
          <w:sz w:val="32"/>
          <w:szCs w:val="32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i/>
          <w:color w:val="000000"/>
          <w:lang w:val="ru-RU"/>
        </w:rPr>
      </w:pPr>
      <w:r w:rsidRPr="00C4515C">
        <w:rPr>
          <w:bCs/>
          <w:i/>
          <w:color w:val="000000"/>
          <w:lang w:val="ru-RU"/>
        </w:rPr>
        <w:t>На № ДЗ-270 от 20 июня 2024 года</w:t>
      </w:r>
    </w:p>
    <w:p w:rsidR="00C4515C" w:rsidRPr="00AD45D0" w:rsidP="00C4515C">
      <w:pPr>
        <w:shd w:val="clear" w:color="auto" w:fill="FFFFFF"/>
        <w:jc w:val="both"/>
        <w:rPr>
          <w:bCs/>
          <w:color w:val="000000"/>
          <w:sz w:val="32"/>
          <w:szCs w:val="32"/>
          <w:lang w:val="ru-RU"/>
        </w:rPr>
      </w:pPr>
    </w:p>
    <w:p w:rsidR="00C4515C" w:rsidRPr="00C4515C" w:rsidP="00C4515C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>Уважаемые депутаты!</w:t>
      </w:r>
    </w:p>
    <w:p w:rsidR="00C4515C" w:rsidRPr="00AD45D0" w:rsidP="00C4515C">
      <w:pPr>
        <w:shd w:val="clear" w:color="auto" w:fill="FFFFFF"/>
        <w:jc w:val="both"/>
        <w:rPr>
          <w:bCs/>
          <w:color w:val="000000"/>
          <w:sz w:val="32"/>
          <w:szCs w:val="32"/>
          <w:lang w:val="ru-RU"/>
        </w:rPr>
      </w:pP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Рассмотрев депутатский запрос, сообщаю следующее.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 w:val="28"/>
          <w:szCs w:val="28"/>
          <w:lang w:val="ru-RU"/>
        </w:rPr>
      </w:pPr>
      <w:r w:rsidRPr="00C4515C">
        <w:rPr>
          <w:bCs/>
          <w:i/>
          <w:color w:val="000000"/>
          <w:sz w:val="28"/>
          <w:szCs w:val="28"/>
          <w:lang w:val="ru-RU"/>
        </w:rPr>
        <w:t xml:space="preserve">Касательно ужесточения профилей риска системы управления рисками </w:t>
      </w:r>
      <w:r w:rsidRPr="00C4515C">
        <w:rPr>
          <w:bCs/>
          <w:i/>
          <w:color w:val="000000"/>
          <w:szCs w:val="28"/>
          <w:lang w:val="ru-RU"/>
        </w:rPr>
        <w:t xml:space="preserve">(далее – СУР) </w:t>
      </w:r>
      <w:r w:rsidRPr="00C4515C">
        <w:rPr>
          <w:bCs/>
          <w:i/>
          <w:color w:val="000000"/>
          <w:sz w:val="28"/>
          <w:szCs w:val="28"/>
          <w:lang w:val="ru-RU"/>
        </w:rPr>
        <w:t>для крупных налогоплательщиков в части проверки заявленных в таможенной декларации документов для таможенного оформления и соблюдения мер нетарифного регулирования (</w:t>
      </w:r>
      <w:r w:rsidRPr="00C4515C">
        <w:rPr>
          <w:bCs/>
          <w:i/>
          <w:color w:val="000000"/>
          <w:szCs w:val="28"/>
          <w:lang w:val="ru-RU"/>
        </w:rPr>
        <w:t>обязательной сертификации, разрешений и др.)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При проведении таможенного контроля таможенные органы исходят из принципа выборочности объектов и форм таможенного контроля путем использования СУР.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Одними из целей СУР являются сосредоточение внимания на областях риска с высоким уровнем и обеспечение эффективного использования ресурсов таможенных органов.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Cs w:val="28"/>
          <w:lang w:val="ru-RU"/>
        </w:rPr>
      </w:pPr>
      <w:r w:rsidRPr="00C4515C">
        <w:rPr>
          <w:b/>
          <w:bCs/>
          <w:i/>
          <w:color w:val="000000"/>
          <w:szCs w:val="28"/>
          <w:u w:val="single"/>
          <w:lang w:val="ru-RU"/>
        </w:rPr>
        <w:t>Справочно</w:t>
      </w:r>
      <w:r w:rsidRPr="00C4515C">
        <w:rPr>
          <w:b/>
          <w:bCs/>
          <w:i/>
          <w:color w:val="000000"/>
          <w:szCs w:val="28"/>
          <w:lang w:val="ru-RU"/>
        </w:rPr>
        <w:t>:</w:t>
      </w:r>
      <w:r w:rsidRPr="00C4515C">
        <w:rPr>
          <w:bCs/>
          <w:i/>
          <w:color w:val="000000"/>
          <w:szCs w:val="28"/>
          <w:lang w:val="ru-RU"/>
        </w:rPr>
        <w:t xml:space="preserve"> применение СУР регламентировано главой 50 Таможенного кодекса Евразийского экономического союза и главой 51 Кодекса Республики Казахстан</w:t>
      </w:r>
      <w:r w:rsidRPr="00C4515C">
        <w:rPr>
          <w:bCs/>
          <w:i/>
          <w:color w:val="000000"/>
          <w:szCs w:val="28"/>
          <w:lang w:val="ru-RU"/>
        </w:rPr>
        <w:br/>
        <w:t>«О таможенном регулировании в Республике Казахстан».</w:t>
      </w:r>
    </w:p>
    <w:p w:rsidR="00C4515C" w:rsidRPr="00C4515C" w:rsidP="0084585F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Для реализации принципа выборочности в автоматизированном режиме производится категорирование лиц, совершающих таможенные операции, путем отнесения их к категориям низкого, среднего или высокого уровня риска.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При категорировании участников внешнеэкономической деятельности </w:t>
      </w:r>
      <w:r w:rsidRPr="00C4515C">
        <w:rPr>
          <w:bCs/>
          <w:i/>
          <w:color w:val="000000"/>
          <w:szCs w:val="28"/>
          <w:lang w:val="ru-RU"/>
        </w:rPr>
        <w:t xml:space="preserve">(далее – УВЭД) </w:t>
      </w:r>
      <w:r w:rsidRPr="00C4515C">
        <w:rPr>
          <w:bCs/>
          <w:color w:val="000000"/>
          <w:sz w:val="28"/>
          <w:szCs w:val="28"/>
          <w:lang w:val="ru-RU"/>
        </w:rPr>
        <w:t xml:space="preserve">учитываются таможенные и налоговые характеристики, а также информация из внутренних </w:t>
      </w:r>
      <w:r w:rsidRPr="00C4515C">
        <w:rPr>
          <w:bCs/>
          <w:i/>
          <w:color w:val="000000"/>
          <w:szCs w:val="28"/>
          <w:lang w:val="ru-RU"/>
        </w:rPr>
        <w:t>(база данных таможенных деклараций Республики Казахстан и Евразийского экономического союза, база данных налогового администрирования)</w:t>
      </w:r>
      <w:r w:rsidRPr="00C4515C">
        <w:rPr>
          <w:bCs/>
          <w:color w:val="000000"/>
          <w:szCs w:val="28"/>
          <w:lang w:val="ru-RU"/>
        </w:rPr>
        <w:t xml:space="preserve"> </w:t>
      </w:r>
      <w:r w:rsidRPr="00C4515C">
        <w:rPr>
          <w:bCs/>
          <w:color w:val="000000"/>
          <w:sz w:val="28"/>
          <w:szCs w:val="28"/>
          <w:lang w:val="ru-RU"/>
        </w:rPr>
        <w:t xml:space="preserve">и внешних источников </w:t>
      </w:r>
      <w:r w:rsidRPr="00C4515C">
        <w:rPr>
          <w:bCs/>
          <w:i/>
          <w:color w:val="000000"/>
          <w:szCs w:val="28"/>
          <w:lang w:val="ru-RU"/>
        </w:rPr>
        <w:t>(Министерство труда и социальной защиты – сведения о заработной плате и социальных выплатах, Агентство по финансовому мониторингу – сведения о наличии уголовных дел)</w:t>
      </w:r>
      <w:r w:rsidRPr="00C4515C">
        <w:rPr>
          <w:bCs/>
          <w:color w:val="000000"/>
          <w:sz w:val="28"/>
          <w:szCs w:val="28"/>
          <w:lang w:val="ru-RU"/>
        </w:rPr>
        <w:t xml:space="preserve">. 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Результаты категорирования применяются в профилировании рисков, для исключения коррупционного фактора в автоматизированном режиме назначаются документальные проверки, таможенные досмотры и другие формы таможенного контроля. 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С учетом обновленной информации, поступающей от внутренних и внешних источников, а также выявленных нарушений таможенного законодательства, актуализируются профили риска и результаты категорирования вне зависимости от категории субъекта.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Профили риска по соблюдению мер нетарифного регулирования действуют на всех УВЭД вне зависимости от категории уровня риска.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Вместе с тем действует профиль риска, который применяется только на УВЭД низкого уровня риска, т.е. и на крупные компании </w:t>
      </w:r>
      <w:r w:rsidRPr="00C4515C">
        <w:rPr>
          <w:bCs/>
          <w:i/>
          <w:color w:val="000000"/>
          <w:szCs w:val="28"/>
          <w:lang w:val="ru-RU"/>
        </w:rPr>
        <w:t>(уполномоченные экономические операторы, крупные налогоплательщики, инвесторы и др.)</w:t>
      </w:r>
      <w:r w:rsidRPr="00C4515C">
        <w:rPr>
          <w:bCs/>
          <w:color w:val="000000"/>
          <w:sz w:val="28"/>
          <w:szCs w:val="28"/>
          <w:lang w:val="ru-RU"/>
        </w:rPr>
        <w:t>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Кроме того, Национальной палатой предпринимателей «Атамекен» не поддержано предложение в части усиления контрольных мероприятий в отношении всех крупных налогоплательщиков.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 w:val="28"/>
          <w:szCs w:val="28"/>
          <w:lang w:val="ru-RU"/>
        </w:rPr>
      </w:pPr>
      <w:r w:rsidRPr="00C4515C">
        <w:rPr>
          <w:bCs/>
          <w:i/>
          <w:color w:val="000000"/>
          <w:sz w:val="28"/>
          <w:szCs w:val="28"/>
          <w:lang w:val="ru-RU"/>
        </w:rPr>
        <w:t>Касательно пересмотра профилей риска для малого бизнеса с учетом статистики выявленных правонарушений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На сегодня Комитетом государственных доходов Министерства финансов </w:t>
      </w:r>
      <w:r w:rsidRPr="00C4515C">
        <w:rPr>
          <w:bCs/>
          <w:i/>
          <w:color w:val="000000"/>
          <w:szCs w:val="28"/>
          <w:lang w:val="ru-RU"/>
        </w:rPr>
        <w:t>(далее – КГД МФ)</w:t>
      </w:r>
      <w:r w:rsidRPr="00C4515C">
        <w:rPr>
          <w:bCs/>
          <w:color w:val="000000"/>
          <w:szCs w:val="28"/>
          <w:lang w:val="ru-RU"/>
        </w:rPr>
        <w:t xml:space="preserve"> </w:t>
      </w:r>
      <w:r w:rsidRPr="00C4515C">
        <w:rPr>
          <w:bCs/>
          <w:color w:val="000000"/>
          <w:sz w:val="28"/>
          <w:szCs w:val="28"/>
          <w:lang w:val="ru-RU"/>
        </w:rPr>
        <w:t xml:space="preserve">на постоянной основе проводится работа по актуализации профилей риска независимо от категории субъекта, при этом учитывается статистика выявленных нарушений. С начала текущего года проведено                    20 заседаний рабочей группы по рассмотрению проектов профилей риска, актуализировано более 30 профилей риска, в том числе 2 профиля риска со странами Евразийского экономического союза. 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Статистика по выявленным нарушениям также учитывается при категорировании УВЭД.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В 2023 году проделана работа по созданию благоприятных условий на таможенной границе, что позволило увеличить товарооборот в целом, но как следствие в 1,5 раза выросло количество рисковых деклараций на товары (с 137,9 до 206,2 тыс.).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Однако, несмотря на снижение показателя, дополнительно взыскано на 18,9 млрд тенге больше, чем за 2022 год (59,9 млрд тенге в 2022 году, 78,8 млрд тенге в 2023 году).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В результате проведенной работы эффективность СУР повышена и в текущем году составляет 69 % </w:t>
      </w:r>
      <w:r w:rsidRPr="00C4515C">
        <w:rPr>
          <w:bCs/>
          <w:i/>
          <w:color w:val="000000"/>
          <w:szCs w:val="28"/>
          <w:lang w:val="ru-RU"/>
        </w:rPr>
        <w:t>(в 2023 году – 64 %, в 2022 году – 66 %).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 w:val="28"/>
          <w:szCs w:val="28"/>
          <w:lang w:val="ru-RU"/>
        </w:rPr>
      </w:pPr>
      <w:r w:rsidRPr="00C4515C">
        <w:rPr>
          <w:bCs/>
          <w:i/>
          <w:color w:val="000000"/>
          <w:sz w:val="28"/>
          <w:szCs w:val="28"/>
          <w:lang w:val="ru-RU"/>
        </w:rPr>
        <w:t>Касательно доработки ИС «Астана-1» в части ужесточения контроля за вводимой в электронную декларацию информацией путем автоматической сверки сведений из баз данных по сертификации, разрешениям, а также проверки их достоверности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Информационная система «АСТАНА-1» позволяет проводить автоматическую проверку на предмет наличия и подлинности разрешительных документов, лицензий, сертификатов, используемых при таможенном декларировании, путем интеграции с государственной базой данных                    </w:t>
      </w:r>
      <w:r w:rsidRPr="00C4515C">
        <w:rPr>
          <w:bCs/>
          <w:color w:val="000000"/>
          <w:sz w:val="28"/>
          <w:szCs w:val="28"/>
          <w:lang w:val="ru-RU"/>
        </w:rPr>
        <w:t xml:space="preserve">   «</w:t>
      </w:r>
      <w:r w:rsidRPr="00C4515C">
        <w:rPr>
          <w:bCs/>
          <w:color w:val="000000"/>
          <w:sz w:val="28"/>
          <w:szCs w:val="28"/>
          <w:lang w:val="ru-RU"/>
        </w:rPr>
        <w:t xml:space="preserve">Е-лицензирование» и информационной системой «Единое окно» по экспортно-импортным операциям. 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В рамках дальнейшей работы по цифровизации и оптимизации таможенных процессов до конца 2024 года планируется поэтапное внедрение новой таможенной системы «KEDEN», включающей в себя все этапы таможенных операций и взаимодействия со всеми ее участниками, начиная от ввоза до получения разрешительных документов и заканчивая таможенным контролем после выпуска товаров.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Также система предусмотрит отслеживание статуса таможенной декларации на любом этапе оформления, автоматизацию этапов оформления с фиксацией нарушений, обеспечивающие прозрачность таможенного администрирования, интегрированный контроль и оформление по принципу «одного окна», а также осуществление проверки содержания прилагаемых к таможенной декларации разрешительных документов.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В настоящее время централизован контроль прохождения границы и выпуска товаров путем создания главного диспетчерского управления, что исключает контакт сотрудников таможенной службы с УВЭД, и позволяет принимать решения о выпуске товара удаленно на основании документов и сведений, приложенных УВЭД в информационную систему.</w:t>
      </w:r>
    </w:p>
    <w:p w:rsidR="00C4515C" w:rsidP="00C4515C">
      <w:pPr>
        <w:shd w:val="clear" w:color="auto" w:fill="FFFFFF"/>
        <w:ind w:firstLine="708"/>
        <w:jc w:val="both"/>
        <w:rPr>
          <w:bCs/>
          <w:i/>
          <w:color w:val="000000"/>
          <w:szCs w:val="28"/>
          <w:lang w:val="ru-RU"/>
        </w:rPr>
      </w:pPr>
      <w:r w:rsidRPr="00C4515C">
        <w:rPr>
          <w:b/>
          <w:bCs/>
          <w:i/>
          <w:color w:val="000000"/>
          <w:szCs w:val="28"/>
          <w:u w:val="single"/>
          <w:lang w:val="ru-RU"/>
        </w:rPr>
        <w:t>Справочно</w:t>
      </w:r>
      <w:r w:rsidRPr="00C4515C">
        <w:rPr>
          <w:b/>
          <w:bCs/>
          <w:i/>
          <w:color w:val="000000"/>
          <w:szCs w:val="28"/>
          <w:lang w:val="ru-RU"/>
        </w:rPr>
        <w:t>:</w:t>
      </w:r>
      <w:r w:rsidRPr="00C4515C">
        <w:rPr>
          <w:bCs/>
          <w:i/>
          <w:color w:val="000000"/>
          <w:szCs w:val="28"/>
          <w:lang w:val="ru-RU"/>
        </w:rPr>
        <w:t xml:space="preserve"> результативность взыскания увеличена в 6 раз (с 11,3 млрд тенге </w:t>
      </w:r>
      <w:r w:rsidRPr="00C4515C">
        <w:rPr>
          <w:bCs/>
          <w:i/>
          <w:color w:val="000000"/>
          <w:szCs w:val="28"/>
          <w:lang w:val="ru-RU"/>
        </w:rPr>
        <w:br/>
        <w:t xml:space="preserve">в 2021 году до 74,8 млрд тенге в 2023 году), динамика таможенной очистки также увеличена в 6 раз (с 30,8 тыс. деклараций на товары в 2021 году до 191,1 тыс. деклараций на товары </w:t>
      </w:r>
      <w:r w:rsidRPr="00C4515C">
        <w:rPr>
          <w:bCs/>
          <w:i/>
          <w:color w:val="000000"/>
          <w:szCs w:val="28"/>
          <w:lang w:val="ru-RU"/>
        </w:rPr>
        <w:br/>
        <w:t>в 2023 году).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i/>
          <w:color w:val="000000"/>
          <w:sz w:val="28"/>
          <w:szCs w:val="28"/>
          <w:lang w:val="ru-RU"/>
        </w:rPr>
      </w:pPr>
      <w:r w:rsidRPr="00C4515C">
        <w:rPr>
          <w:bCs/>
          <w:i/>
          <w:color w:val="000000"/>
          <w:sz w:val="28"/>
          <w:szCs w:val="28"/>
          <w:lang w:val="ru-RU"/>
        </w:rPr>
        <w:t>Касательно организации пост-таможенных проверок крупных налогоплательщиков за пятилетний период исковой давности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Согласно таможенному законодательству таможенный контроль после выпуска товаров проводится в течение срока исковой давности, который составляет три года, отбор проверяемых лиц осуществляется на основании автоматизированной СУР.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В целях информирования на сайте КГД МФ размещена ценовая информация, при соблюдении которой УВЭД не подпадет под контроль таможенной стоимости. </w:t>
      </w:r>
    </w:p>
    <w:p w:rsidR="00C4515C" w:rsidRPr="00C4515C" w:rsidP="00C4515C">
      <w:pPr>
        <w:shd w:val="clear" w:color="auto" w:fill="FFFFFF"/>
        <w:ind w:firstLine="708"/>
        <w:jc w:val="both"/>
        <w:rPr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За 6 месяцев текущего года посредством СУР в 3,8 раза меньше УВЭД выпущено без таможенного контроля </w:t>
      </w:r>
      <w:r w:rsidRPr="00C4515C">
        <w:rPr>
          <w:i/>
          <w:iCs/>
          <w:lang w:val="ru-RU"/>
        </w:rPr>
        <w:t>(13,2 тыс., с контролем 50,3 тыс.)</w:t>
      </w:r>
      <w:r w:rsidRPr="00C4515C">
        <w:rPr>
          <w:sz w:val="28"/>
          <w:szCs w:val="28"/>
          <w:lang w:val="ru-RU"/>
        </w:rPr>
        <w:t>,</w:t>
      </w:r>
      <w:r w:rsidRPr="00C4515C">
        <w:rPr>
          <w:bCs/>
          <w:color w:val="000000"/>
          <w:sz w:val="28"/>
          <w:szCs w:val="28"/>
          <w:lang w:val="ru-RU"/>
        </w:rPr>
        <w:t xml:space="preserve"> при этом этими УВЭД в 3,4 раза больше уплачено таможенных платежей и налогов, чем компаниями, которые попали под таможенный контроль.</w:t>
      </w:r>
      <w:r w:rsidRPr="00C4515C">
        <w:rPr>
          <w:sz w:val="28"/>
          <w:szCs w:val="28"/>
          <w:lang w:val="ru-RU"/>
        </w:rPr>
        <w:t xml:space="preserve"> 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 xml:space="preserve">За 2022 – 2023 годы на этапе таможенного оформления проверено порядка 90 тыс. деклараций крупных компаний </w:t>
      </w:r>
      <w:r w:rsidRPr="00C4515C">
        <w:rPr>
          <w:bCs/>
          <w:i/>
          <w:color w:val="000000"/>
          <w:szCs w:val="28"/>
          <w:lang w:val="ru-RU"/>
        </w:rPr>
        <w:t>(15 % от общего количества проверенных деклараций),</w:t>
      </w:r>
      <w:r w:rsidRPr="00C4515C">
        <w:rPr>
          <w:bCs/>
          <w:color w:val="000000"/>
          <w:sz w:val="28"/>
          <w:szCs w:val="28"/>
          <w:lang w:val="ru-RU"/>
        </w:rPr>
        <w:t xml:space="preserve"> а также проведено 1074 таможенных проверок после выпуска и взыскано 17,2 млрд тенге, что говорит о наличии таможенного контроля крупных налогоплательщиков.</w:t>
      </w:r>
    </w:p>
    <w:p w:rsidR="00C4515C" w:rsidRPr="00C4515C" w:rsidP="00C4515C">
      <w:pPr>
        <w:shd w:val="clear" w:color="auto" w:fill="FFFFFF"/>
        <w:ind w:firstLine="708"/>
        <w:jc w:val="both"/>
        <w:rPr>
          <w:bCs/>
          <w:color w:val="000000"/>
          <w:sz w:val="28"/>
          <w:szCs w:val="28"/>
          <w:lang w:val="ru-RU"/>
        </w:rPr>
      </w:pPr>
      <w:r w:rsidRPr="00C4515C">
        <w:rPr>
          <w:bCs/>
          <w:color w:val="000000"/>
          <w:sz w:val="28"/>
          <w:szCs w:val="28"/>
          <w:lang w:val="ru-RU"/>
        </w:rPr>
        <w:t>В целом работа по созданию благоприятных условий для УВЭД, повышению качества таможенного администрирования, увеличению поступлений в бюджет продолжается и находится на особом контроле Правительства.</w:t>
      </w: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right"/>
        <w:rPr>
          <w:b/>
          <w:bCs/>
          <w:color w:val="000000"/>
          <w:sz w:val="28"/>
          <w:szCs w:val="28"/>
          <w:lang w:val="ru-RU"/>
        </w:rPr>
      </w:pPr>
      <w:r w:rsidRPr="00C4515C">
        <w:rPr>
          <w:b/>
          <w:bCs/>
          <w:color w:val="000000"/>
          <w:sz w:val="28"/>
          <w:szCs w:val="28"/>
          <w:lang w:val="ru-RU"/>
        </w:rPr>
        <w:t xml:space="preserve">О. </w:t>
      </w:r>
      <w:r w:rsidRPr="00C4515C">
        <w:rPr>
          <w:b/>
          <w:bCs/>
          <w:color w:val="000000"/>
          <w:sz w:val="28"/>
          <w:szCs w:val="28"/>
          <w:lang w:val="ru-RU"/>
        </w:rPr>
        <w:t>Бектенов</w:t>
      </w: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p w:rsidR="00C4515C" w:rsidRPr="00C4515C" w:rsidP="00C4515C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</w:p>
    <w:sectPr w:rsidSect="00A36F89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18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A1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A1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A10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33A10" w:rsidRPr="00233A10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16.07.2024 ЕСЭДО ГО (версия 7.23.0)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233A10" w:rsidRPr="00233A10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16.07.2024 ЕСЭДО ГО (версия 7.23.0)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A1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201866646"/>
      <w:docPartObj>
        <w:docPartGallery w:val="Page Numbers (Top of Page)"/>
        <w:docPartUnique/>
      </w:docPartObj>
    </w:sdtPr>
    <w:sdtContent>
      <w:p w:rsidR="000241B4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D45D0" w:rsidR="00AD45D0">
          <w:rPr>
            <w:noProof/>
            <w:lang w:val="ru-RU"/>
          </w:rPr>
          <w:t>2</w:t>
        </w:r>
        <w:r>
          <w:fldChar w:fldCharType="end"/>
        </w:r>
      </w:p>
    </w:sdtContent>
  </w:sdt>
  <w:p w:rsidR="000241B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6F89">
    <w:pPr>
      <w:pStyle w:val="Header"/>
    </w:pPr>
    <w:r>
      <w:rPr>
        <w:noProof/>
        <w:lang w:val="en-US" w:eastAsia="en-US"/>
        <w14:ligatures w14:val="standardContextual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12-13/3151 дз   от: 16.07.2024"/>
        </v:shape>
      </w:pict>
    </w:r>
    <w:r>
      <w:rPr>
        <w:noProof/>
        <w:lang w:val="en-US" w:eastAsia="en-US"/>
        <w14:ligatures w14:val="standardContextual"/>
      </w:rPr>
      <w:drawing>
        <wp:inline distT="0" distB="0" distL="0" distR="0">
          <wp:extent cx="6119495" cy="1790700"/>
          <wp:effectExtent l="0" t="0" r="0" b="0"/>
          <wp:docPr id="3" name="Рисунок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22646E7"/>
    <w:multiLevelType w:val="hybridMultilevel"/>
    <w:tmpl w:val="9628E788"/>
    <w:lvl w:ilvl="0">
      <w:start w:val="0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49EA4838"/>
    <w:multiLevelType w:val="multilevel"/>
    <w:tmpl w:val="AF886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98040F"/>
    <w:multiLevelType w:val="hybridMultilevel"/>
    <w:tmpl w:val="DE5E5B16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E97576D"/>
    <w:multiLevelType w:val="hybridMultilevel"/>
    <w:tmpl w:val="690A12C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B69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3FCA"/>
    <w:pPr>
      <w:spacing w:before="100" w:beforeAutospacing="1" w:after="100" w:afterAutospacing="1"/>
      <w:ind w:firstLine="709"/>
      <w:jc w:val="both"/>
    </w:pPr>
    <w:rPr>
      <w:lang w:val="ru-RU"/>
    </w:rPr>
  </w:style>
  <w:style w:type="paragraph" w:styleId="ListParagraph">
    <w:name w:val="List Paragraph"/>
    <w:aliases w:val="Bullet List,Colorful List - Accent 11,Heading1,List Paragraph (numbered (a)),List Paragraph1,List Paragraph_0,List Square,References,WB Para,l,Абзац,Абзац с отступом,Абзац списка7,Абзац списка71,Абзац списка8,ПАРАГРАФ,без абзаца,маркированный"/>
    <w:basedOn w:val="Normal"/>
    <w:link w:val="a"/>
    <w:uiPriority w:val="34"/>
    <w:qFormat/>
    <w:rsid w:val="003137D2"/>
    <w:pPr>
      <w:ind w:left="720"/>
      <w:contextualSpacing/>
    </w:pPr>
  </w:style>
  <w:style w:type="character" w:customStyle="1" w:styleId="a">
    <w:name w:val="Абзац списка Знак"/>
    <w:aliases w:val="List Paragraph (numbered (a)) Знак,List Paragraph Знак,List Paragraph1 Знак,References Знак,WB Para Знак,Абзац с отступом Знак,Абзац списка7 Знак,Абзац списка71 Знак,Абзац списка8 Знак,ПАРАГРАФ Знак,без абзаца Знак,маркированный Знак"/>
    <w:link w:val="ListParagraph"/>
    <w:qFormat/>
    <w:locked/>
    <w:rsid w:val="003137D2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character" w:customStyle="1" w:styleId="docdata">
    <w:name w:val="docdata"/>
    <w:aliases w:val="3413,bqiaagaaeyqcaaagiaiaaao8daaabcomaaaaaaaaaaaaaaaaaaaaaaaaaaaaaaaaaaaaaaaaaaaaaaaaaaaaaaaaaaaaaaaaaaaaaaaaaaaaaaaaaaaaaaaaaaaaaaaaaaaaaaaaaaaaaaaaaaaaaaaaaaaaaaaaaaaaaaaaaaaaaaaaaaaaaaaaaaaaaaaaaaaaaaaaaaaaaaaaaaaaaaaaaaaaaaaaaaaaaaaa,docy,v5"/>
    <w:basedOn w:val="DefaultParagraphFont"/>
    <w:rsid w:val="00C63040"/>
  </w:style>
  <w:style w:type="paragraph" w:customStyle="1" w:styleId="western">
    <w:name w:val="western"/>
    <w:basedOn w:val="Normal"/>
    <w:qFormat/>
    <w:rsid w:val="00FE18F5"/>
    <w:pPr>
      <w:spacing w:before="100" w:beforeAutospacing="1" w:after="100" w:afterAutospacing="1"/>
    </w:pPr>
    <w:rPr>
      <w:lang w:val="ru-RU"/>
    </w:rPr>
  </w:style>
  <w:style w:type="paragraph" w:customStyle="1" w:styleId="6757">
    <w:name w:val="6757"/>
    <w:aliases w:val="bqiaagaaeyqcaaagiaiaaamqfaaabroyaaaaaaaaaaaaaaaaaaaaaaaaaaaaaaaaaaaaaaaaaaaaaaaaaaaaaaaaaaaaaaaaaaaaaaaaaaaaaaaaaaaaaaaaaaaaaaaaaaaaaaaaaaaaaaaaaaaaaaaaaaaaaaaaaaaaaaaaaaaaaaaaaaaaaaaaaaaaaaaaaaaaaaaaaaaaaaaaaaaaaaaaaaaaaaaaaaaaaaaa"/>
    <w:basedOn w:val="Normal"/>
    <w:rsid w:val="00B53581"/>
    <w:pPr>
      <w:spacing w:before="100" w:beforeAutospacing="1" w:after="100" w:afterAutospacing="1"/>
    </w:pPr>
    <w:rPr>
      <w:lang w:val="ru-RU"/>
    </w:rPr>
  </w:style>
  <w:style w:type="paragraph" w:customStyle="1" w:styleId="5951">
    <w:name w:val="5951"/>
    <w:aliases w:val="bqiaagaaeyqcaaagiaiaaaoqfaaabbguaaaaaaaaaaaaaaaaaaaaaaaaaaaaaaaaaaaaaaaaaaaaaaaaaaaaaaaaaaaaaaaaaaaaaaaaaaaaaaaaaaaaaaaaaaaaaaaaaaaaaaaaaaaaaaaaaaaaaaaaaaaaaaaaaaaaaaaaaaaaaaaaaaaaaaaaaaaaaaaaaaaaaaaaaaaaaaaaaaaaaaaaaaaaaaaaaaaaaaaa"/>
    <w:basedOn w:val="Normal"/>
    <w:rsid w:val="006D4921"/>
    <w:pPr>
      <w:spacing w:before="100" w:beforeAutospacing="1" w:after="100" w:afterAutospacing="1"/>
    </w:pPr>
    <w:rPr>
      <w:lang w:val="ru-RU"/>
    </w:rPr>
  </w:style>
  <w:style w:type="paragraph" w:customStyle="1" w:styleId="2234">
    <w:name w:val="2234"/>
    <w:aliases w:val="bqiaagaaeyqcaaagiaiaaaplbwaabdkh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2019">
    <w:name w:val="2019"/>
    <w:aliases w:val="bqiaagaaeyqcaaagiaiaaankbwaabvgh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1020">
    <w:name w:val="1020"/>
    <w:aliases w:val="bqiaagaaeyqcaaagiaiaaanjawaabxed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4050">
    <w:name w:val="4050"/>
    <w:aliases w:val="bqiaagaaeyqcaaagiaiaaanrcgaabxkkaaaaaaaaaaaaaaaaaaaaaaaaaaaaaaaaaaaaaaaaaaaaaaaaaaaaaaaaaaaaaaaaaaaaaaaaaaaaaaaaaaaaaaaaaaaaaaaaaaaaaaaaaaaaaaaaaaaaaaaaaaaaaaaaaaaaaaaaaaaaaaaaaaaaaaaaaaaaaaaaaaaaaaaaaaaaaaaaaaaaaaaaaaaaaaaaaaaaaaaa"/>
    <w:basedOn w:val="Normal"/>
    <w:rsid w:val="00B60BA6"/>
    <w:pPr>
      <w:spacing w:before="100" w:beforeAutospacing="1" w:after="100" w:afterAutospacing="1"/>
    </w:pPr>
  </w:style>
  <w:style w:type="paragraph" w:styleId="BalloonText">
    <w:name w:val="Balloon Text"/>
    <w:basedOn w:val="Normal"/>
    <w:link w:val="a4"/>
    <w:uiPriority w:val="99"/>
    <w:semiHidden/>
    <w:unhideWhenUsed/>
    <w:rsid w:val="0023430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DefaultParagraphFont"/>
    <w:link w:val="BalloonText"/>
    <w:uiPriority w:val="99"/>
    <w:semiHidden/>
    <w:rsid w:val="0023430A"/>
    <w:rPr>
      <w:rFonts w:ascii="Segoe UI" w:eastAsia="Times New Roman" w:hAnsi="Segoe UI" w:cs="Segoe UI"/>
      <w:kern w:val="0"/>
      <w:sz w:val="18"/>
      <w:szCs w:val="18"/>
      <w:lang w:val="kk-KZ" w:eastAsia="ru-RU"/>
      <w14:ligatures w14:val="none"/>
    </w:rPr>
  </w:style>
  <w:style w:type="paragraph" w:styleId="Header">
    <w:name w:val="header"/>
    <w:basedOn w:val="Normal"/>
    <w:link w:val="a5"/>
    <w:uiPriority w:val="99"/>
    <w:unhideWhenUsed/>
    <w:rsid w:val="000241B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DefaultParagraphFont"/>
    <w:link w:val="Header"/>
    <w:uiPriority w:val="99"/>
    <w:rsid w:val="000241B4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paragraph" w:styleId="Footer">
    <w:name w:val="footer"/>
    <w:basedOn w:val="Normal"/>
    <w:link w:val="a6"/>
    <w:uiPriority w:val="99"/>
    <w:unhideWhenUsed/>
    <w:rsid w:val="000241B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DefaultParagraphFont"/>
    <w:link w:val="Footer"/>
    <w:uiPriority w:val="99"/>
    <w:rsid w:val="000241B4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paragraph" w:customStyle="1" w:styleId="1956">
    <w:name w:val="1956"/>
    <w:aliases w:val="bqiaagaaeyqcaaagiaiaaamlbwaabrkhaaaaaaaaaaaaaaaaaaaaaaaaaaaaaaaaaaaaaaaaaaaaaaaaaaaaaaaaaaaaaaaaaaaaaaaaaaaaaaaaaaaaaaaaaaaaaaaaaaaaaaaaaaaaaaaaaaaaaaaaaaaaaaaaaaaaaaaaaaaaaaaaaaaaaaaaaaaaaaaaaaaaaaaaaaaaaaaaaaaaaaaaaaaaaaaaaaaaaaaa"/>
    <w:basedOn w:val="Normal"/>
    <w:rsid w:val="00D6499C"/>
    <w:pPr>
      <w:spacing w:before="100" w:beforeAutospacing="1" w:after="100" w:afterAutospacing="1"/>
    </w:pPr>
    <w:rPr>
      <w:lang w:val="ru-RU"/>
    </w:rPr>
  </w:style>
  <w:style w:type="paragraph" w:styleId="BodyTextIndent">
    <w:name w:val="Body Text Indent"/>
    <w:basedOn w:val="Normal"/>
    <w:link w:val="a7"/>
    <w:uiPriority w:val="99"/>
    <w:unhideWhenUsed/>
    <w:rsid w:val="007277B4"/>
    <w:pPr>
      <w:shd w:val="clear" w:color="auto" w:fill="FFFFFF"/>
      <w:ind w:firstLine="851"/>
      <w:jc w:val="both"/>
      <w:textAlignment w:val="baseline"/>
    </w:pPr>
    <w:rPr>
      <w:color w:val="000000"/>
      <w:sz w:val="28"/>
      <w:szCs w:val="28"/>
      <w:lang w:val="ru-RU"/>
    </w:rPr>
  </w:style>
  <w:style w:type="character" w:customStyle="1" w:styleId="a7">
    <w:name w:val="Основной текст с отступом Знак"/>
    <w:basedOn w:val="DefaultParagraphFont"/>
    <w:link w:val="BodyTextIndent"/>
    <w:uiPriority w:val="99"/>
    <w:rsid w:val="007277B4"/>
    <w:rPr>
      <w:rFonts w:ascii="Times New Roman" w:eastAsia="Times New Roman" w:hAnsi="Times New Roman" w:cs="Times New Roman"/>
      <w:color w:val="000000"/>
      <w:kern w:val="0"/>
      <w:sz w:val="28"/>
      <w:szCs w:val="28"/>
      <w:shd w:val="clear" w:color="auto" w:fill="FFFFFF"/>
      <w:lang w:eastAsia="ru-RU"/>
      <w14:ligatures w14:val="none"/>
    </w:rPr>
  </w:style>
  <w:style w:type="character" w:styleId="Strong">
    <w:name w:val="Strong"/>
    <w:basedOn w:val="DefaultParagraphFont"/>
    <w:uiPriority w:val="22"/>
    <w:qFormat/>
    <w:rsid w:val="00E25D5F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EA32AA"/>
    <w:pPr>
      <w:widowControl w:val="0"/>
      <w:autoSpaceDE w:val="0"/>
      <w:autoSpaceDN w:val="0"/>
      <w:ind w:left="105"/>
    </w:pPr>
    <w:rPr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740DF-B430-4933-9701-6841D4D0C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7105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