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232608" w:rsidTr="00232608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232608" w:rsidRDefault="00232608" w:rsidP="00232608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>№ исх: 11-11/1465 дз   от: 05.05.2023</w:t>
            </w:r>
          </w:p>
          <w:p w:rsidR="00232608" w:rsidRPr="00232608" w:rsidRDefault="00232608" w:rsidP="00232608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>№ вх.1351//11-11/1465дз/ДС-37  от: 05.05.2023</w:t>
            </w:r>
          </w:p>
        </w:tc>
      </w:tr>
    </w:tbl>
    <w:p w:rsidR="00416C33" w:rsidRPr="00F74F86" w:rsidRDefault="00416C33" w:rsidP="00232608"/>
    <w:p w:rsidR="00017F28" w:rsidRPr="00F74F86" w:rsidRDefault="00017F28" w:rsidP="00017F28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Депутатам</w:t>
      </w:r>
    </w:p>
    <w:p w:rsidR="00017F28" w:rsidRPr="00F74F86" w:rsidRDefault="00017F28" w:rsidP="00017F28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Мажилиса Парламента</w:t>
      </w:r>
    </w:p>
    <w:p w:rsidR="00017F28" w:rsidRPr="00F74F86" w:rsidRDefault="00017F28" w:rsidP="00017F28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Казахстан</w:t>
      </w:r>
    </w:p>
    <w:p w:rsidR="00017F28" w:rsidRPr="00F74F86" w:rsidRDefault="00017F28" w:rsidP="00017F28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Базарбек Б.Ж.</w:t>
      </w:r>
    </w:p>
    <w:p w:rsidR="00017F28" w:rsidRPr="00F74F86" w:rsidRDefault="00017F28" w:rsidP="00017F28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Каскарауову Д.А.</w:t>
      </w:r>
    </w:p>
    <w:p w:rsidR="00017F28" w:rsidRPr="00F74F86" w:rsidRDefault="00017F28" w:rsidP="00017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28" w:rsidRPr="00F74F86" w:rsidRDefault="00017F28" w:rsidP="0001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28" w:rsidRPr="00F74F86" w:rsidRDefault="00017F28" w:rsidP="0001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F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№ ДЗ-37 от 6 апреля 2023 года</w:t>
      </w:r>
    </w:p>
    <w:p w:rsidR="00017F28" w:rsidRPr="00F74F86" w:rsidRDefault="00017F28" w:rsidP="0001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7F28" w:rsidRPr="00F74F86" w:rsidRDefault="00017F28" w:rsidP="00017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86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017F28" w:rsidRPr="00F74F86" w:rsidRDefault="00017F28" w:rsidP="00017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28" w:rsidRPr="00F74F86" w:rsidRDefault="007736F7" w:rsidP="0001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17F28"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вышеуказанный депутатский запрос, сообщае</w:t>
      </w: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17F28"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следующее.</w:t>
      </w:r>
    </w:p>
    <w:p w:rsidR="00017F28" w:rsidRPr="00F74F86" w:rsidRDefault="00017F28" w:rsidP="0001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F86">
        <w:rPr>
          <w:rFonts w:ascii="Times New Roman" w:hAnsi="Times New Roman" w:cs="Times New Roman"/>
          <w:b/>
          <w:i/>
          <w:sz w:val="28"/>
          <w:szCs w:val="28"/>
        </w:rPr>
        <w:t xml:space="preserve">Касательно внедрения альтернативы в финансировании строительства </w:t>
      </w:r>
      <w:r w:rsidRPr="00F74F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сетей водо- и электроснабжения на планируемых земельных участках для индивидуального жилищного строительства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4F86">
        <w:rPr>
          <w:rFonts w:ascii="Times New Roman" w:hAnsi="Times New Roman" w:cs="Times New Roman"/>
          <w:sz w:val="28"/>
          <w:szCs w:val="28"/>
        </w:rPr>
        <w:t>В соответствии с проектом Концепции развития жилищно-коммунальной инфраструктуры на 2023 – 2029 годы, за счет средств местного и республиканского бюджета предусмотрено осуществление финансирования проектов</w:t>
      </w:r>
      <w:r w:rsidRPr="00F74F86">
        <w:t xml:space="preserve"> </w:t>
      </w:r>
      <w:r w:rsidRPr="00F74F86">
        <w:rPr>
          <w:rFonts w:ascii="Times New Roman" w:hAnsi="Times New Roman" w:cs="Times New Roman"/>
          <w:sz w:val="28"/>
          <w:szCs w:val="28"/>
        </w:rPr>
        <w:t xml:space="preserve">по строительству сетей водо-, электро- и газоснабжения к площадкам, на которых будут выделяться земельные участки для индивидуального жилищного строительства (далее – ИЖС) лицам, состоящим на учете в местных исполнительных органах на получение земельного участка для </w:t>
      </w:r>
      <w:r w:rsidRPr="00F74F86">
        <w:rPr>
          <w:rFonts w:ascii="Times New Roman" w:hAnsi="Times New Roman" w:cs="Times New Roman"/>
          <w:iCs/>
          <w:sz w:val="28"/>
          <w:szCs w:val="28"/>
        </w:rPr>
        <w:t xml:space="preserve">ИЖС. </w:t>
      </w:r>
    </w:p>
    <w:p w:rsidR="001B6A38" w:rsidRPr="00A432E2" w:rsidRDefault="001B6A38" w:rsidP="001B6A3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32E2">
        <w:rPr>
          <w:rFonts w:ascii="Times New Roman" w:hAnsi="Times New Roman" w:cs="Times New Roman"/>
          <w:sz w:val="28"/>
          <w:szCs w:val="28"/>
        </w:rPr>
        <w:t xml:space="preserve">В республиканском бюджете на 2023 год в рамках расходов Министерства индустрии и инфраструктурного развития на строительство сетей водо-, электро- и газоснабжения к порядка 40 тыс новых земельных участков для ИЖС предусмотрены расходы в общей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32E2">
        <w:rPr>
          <w:rFonts w:ascii="Times New Roman" w:hAnsi="Times New Roman" w:cs="Times New Roman"/>
          <w:sz w:val="28"/>
          <w:szCs w:val="28"/>
        </w:rPr>
        <w:t>6,2 млрд тенге</w:t>
      </w:r>
      <w:r w:rsidRPr="001B6A38">
        <w:rPr>
          <w:rFonts w:ascii="Times New Roman" w:hAnsi="Times New Roman" w:cs="Times New Roman"/>
          <w:iCs/>
          <w:sz w:val="28"/>
          <w:szCs w:val="24"/>
        </w:rPr>
        <w:t>.</w:t>
      </w:r>
    </w:p>
    <w:p w:rsidR="001B6A38" w:rsidRPr="00A432E2" w:rsidRDefault="001B6A38" w:rsidP="001B6A3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целом на </w:t>
      </w:r>
      <w:r w:rsidRPr="00A43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4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для строительства инженерно-коммуникационной инфраструктуры (далее – ИКИ) в районах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многоэтажной </w:t>
      </w:r>
      <w:r w:rsidRPr="00A432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жилищной застройки в республиканском бюджете предусмотрено 104,8 млрд тенге</w:t>
      </w:r>
      <w:r w:rsidRPr="00A432E2">
        <w:rPr>
          <w:rFonts w:ascii="Times New Roman" w:hAnsi="Times New Roman" w:cs="Times New Roman"/>
          <w:sz w:val="28"/>
          <w:szCs w:val="28"/>
        </w:rPr>
        <w:t>.</w:t>
      </w:r>
    </w:p>
    <w:p w:rsidR="002E3643" w:rsidRDefault="00017F28" w:rsidP="00C052E2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F86">
        <w:rPr>
          <w:rFonts w:ascii="Times New Roman" w:hAnsi="Times New Roman" w:cs="Times New Roman"/>
          <w:sz w:val="28"/>
          <w:szCs w:val="28"/>
        </w:rPr>
        <w:t>Также</w:t>
      </w:r>
      <w:r w:rsidR="00CE6C21" w:rsidRPr="00F74F86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705DF" w:rsidRPr="00F74F86">
        <w:rPr>
          <w:rFonts w:ascii="Times New Roman" w:hAnsi="Times New Roman" w:cs="Times New Roman"/>
          <w:sz w:val="28"/>
          <w:szCs w:val="28"/>
        </w:rPr>
        <w:t>Концепции развития жилищно-коммунальной инфраструктуры до 2026 года, утвержденных постановлением Правительства Республики Казахстан от 23 сентября 2022 года № 736</w:t>
      </w:r>
      <w:r w:rsidR="002E429E" w:rsidRPr="00F74F86">
        <w:rPr>
          <w:rFonts w:ascii="Times New Roman" w:hAnsi="Times New Roman" w:cs="Times New Roman"/>
          <w:sz w:val="28"/>
          <w:szCs w:val="28"/>
        </w:rPr>
        <w:t>,</w:t>
      </w:r>
      <w:r w:rsidR="00F705DF" w:rsidRPr="00F74F86">
        <w:rPr>
          <w:rFonts w:ascii="Times New Roman" w:hAnsi="Times New Roman" w:cs="Times New Roman"/>
          <w:sz w:val="28"/>
          <w:szCs w:val="28"/>
        </w:rPr>
        <w:t xml:space="preserve"> привлечены</w:t>
      </w:r>
      <w:r w:rsidRPr="00F74F8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705DF" w:rsidRPr="00F74F86">
        <w:rPr>
          <w:rFonts w:ascii="Times New Roman" w:hAnsi="Times New Roman" w:cs="Times New Roman"/>
          <w:sz w:val="28"/>
          <w:szCs w:val="28"/>
        </w:rPr>
        <w:t>а</w:t>
      </w:r>
      <w:r w:rsidRPr="00F74F86">
        <w:rPr>
          <w:rFonts w:ascii="Times New Roman" w:hAnsi="Times New Roman" w:cs="Times New Roman"/>
          <w:sz w:val="28"/>
          <w:szCs w:val="28"/>
        </w:rPr>
        <w:t xml:space="preserve"> за счет выпуска государственных ценных бумаг</w:t>
      </w:r>
      <w:r w:rsidR="00F705DF" w:rsidRPr="00F74F86">
        <w:rPr>
          <w:rFonts w:ascii="Times New Roman" w:hAnsi="Times New Roman" w:cs="Times New Roman"/>
          <w:sz w:val="28"/>
          <w:szCs w:val="28"/>
        </w:rPr>
        <w:t>,</w:t>
      </w:r>
      <w:r w:rsidRPr="00F74F86">
        <w:rPr>
          <w:rFonts w:ascii="Times New Roman" w:hAnsi="Times New Roman" w:cs="Times New Roman"/>
          <w:sz w:val="28"/>
          <w:szCs w:val="28"/>
        </w:rPr>
        <w:t xml:space="preserve"> предусмотрена организация акиматами пилотных проектов по строительству ИЖС, в том числе с привлечением частных застройщиков, что является одним из механизмов государственно-частного партнерства.</w:t>
      </w:r>
    </w:p>
    <w:p w:rsidR="00017F28" w:rsidRPr="00F74F86" w:rsidRDefault="00017F28" w:rsidP="00C052E2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механизма по строительству ИКИ к неосвоенным земельным участкам под ИЖС инвесторами </w:t>
      </w:r>
      <w:r w:rsidR="00EF78DF"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видится </w:t>
      </w: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нецелесообразным, ввиду дополнительных затрат</w:t>
      </w:r>
      <w:r w:rsidR="002E429E"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8DF"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компенсация, вознаграждение, возмещение оп</w:t>
      </w:r>
      <w:r w:rsidR="00EF78DF"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ерационных затрат, а также риск</w:t>
      </w: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удорожания тарифов для населения и отсутствия интереса с их стороны.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4F86">
        <w:rPr>
          <w:rFonts w:ascii="Times New Roman" w:hAnsi="Times New Roman" w:cs="Times New Roman"/>
          <w:b/>
          <w:i/>
          <w:iCs/>
          <w:sz w:val="28"/>
          <w:szCs w:val="28"/>
        </w:rPr>
        <w:t>Касательно увеличения сроков освоения земельного участка для ИЖС с 3 до 5 лет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F86">
        <w:rPr>
          <w:rFonts w:ascii="Times New Roman" w:hAnsi="Times New Roman" w:cs="Times New Roman"/>
          <w:sz w:val="28"/>
          <w:szCs w:val="28"/>
        </w:rPr>
        <w:t xml:space="preserve">В соответствии со статьей 35 Земельного кодекса (далее – Кодекс), право временного возмездного землепользования по землям, используемым для строительства объектов в черте населенного пункта, предоставляется на срок не менее трех лет. 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F86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для индивидуального жилищного строительства на период освоения производится на праве временного возмездного землепользования (аренды) с установлением условий и сроков освоения таких земельных участков в соответствии со статьей 92 Кодекса. 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F86">
        <w:rPr>
          <w:rFonts w:ascii="Times New Roman" w:hAnsi="Times New Roman" w:cs="Times New Roman"/>
          <w:sz w:val="28"/>
          <w:szCs w:val="28"/>
        </w:rPr>
        <w:t xml:space="preserve">На основании статьи 92 </w:t>
      </w:r>
      <w:r w:rsidR="00050D6C" w:rsidRPr="00F74F86">
        <w:rPr>
          <w:rFonts w:ascii="Times New Roman" w:hAnsi="Times New Roman" w:cs="Times New Roman"/>
          <w:sz w:val="28"/>
          <w:szCs w:val="28"/>
        </w:rPr>
        <w:t>К</w:t>
      </w:r>
      <w:r w:rsidRPr="00F74F86">
        <w:rPr>
          <w:rFonts w:ascii="Times New Roman" w:hAnsi="Times New Roman" w:cs="Times New Roman"/>
          <w:sz w:val="28"/>
          <w:szCs w:val="28"/>
        </w:rPr>
        <w:t xml:space="preserve">одекса, срок и условия освоения земельного участка, за исключением случаев, предусмотренных настоящей статьей, определяются местными исполнительными органами и отражаются в договорах купли-продажи или землепользования (аренды). 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F86">
        <w:rPr>
          <w:rFonts w:ascii="Times New Roman" w:hAnsi="Times New Roman" w:cs="Times New Roman"/>
          <w:sz w:val="28"/>
          <w:szCs w:val="28"/>
        </w:rPr>
        <w:t xml:space="preserve">Согласно статьи 37 </w:t>
      </w:r>
      <w:r w:rsidR="00050D6C" w:rsidRPr="00F74F86">
        <w:rPr>
          <w:rFonts w:ascii="Times New Roman" w:hAnsi="Times New Roman" w:cs="Times New Roman"/>
          <w:sz w:val="28"/>
          <w:szCs w:val="28"/>
        </w:rPr>
        <w:t>Кодекса</w:t>
      </w:r>
      <w:r w:rsidRPr="00F74F86">
        <w:rPr>
          <w:rFonts w:ascii="Times New Roman" w:hAnsi="Times New Roman" w:cs="Times New Roman"/>
          <w:sz w:val="28"/>
          <w:szCs w:val="28"/>
        </w:rPr>
        <w:t>, временный возмездный землепользователь (арендатор), надлежащим образом исполнявший свои обязанности, имеет, если иное не установлено законами Республики Казахстан или договором аренды, право на заключение договора на новый срок</w:t>
      </w:r>
      <w:r w:rsidRPr="00F74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F86">
        <w:rPr>
          <w:rFonts w:ascii="Times New Roman" w:hAnsi="Times New Roman" w:cs="Times New Roman"/>
          <w:sz w:val="28"/>
          <w:szCs w:val="28"/>
        </w:rPr>
        <w:t>в порядке, предусмотренном статьей 43 Кодекса, за исключением требований, установленных подпунктами 2), 3), 4), 5) и 8) пункта 1 статьи 43 Кодекса, при условии неизменности границ</w:t>
      </w:r>
      <w:r w:rsidR="00F74F86" w:rsidRPr="00F74F86">
        <w:rPr>
          <w:rFonts w:ascii="Times New Roman" w:hAnsi="Times New Roman" w:cs="Times New Roman"/>
          <w:sz w:val="28"/>
          <w:szCs w:val="28"/>
        </w:rPr>
        <w:t xml:space="preserve"> </w:t>
      </w:r>
      <w:r w:rsidRPr="00F74F86"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F86">
        <w:rPr>
          <w:rFonts w:ascii="Times New Roman" w:hAnsi="Times New Roman" w:cs="Times New Roman"/>
          <w:sz w:val="28"/>
          <w:szCs w:val="28"/>
        </w:rPr>
        <w:t xml:space="preserve">Временный возмездный землепользователь (арендатор) обязан письменно уведомить арендодателя о намерении заключить такой договор в срок, указанный в договоре аренды, если в договоре такой срок не указан, то в трехмесячный срок до окончания срока действия договора аренды. 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F86">
        <w:rPr>
          <w:rFonts w:ascii="Times New Roman" w:hAnsi="Times New Roman" w:cs="Times New Roman"/>
          <w:sz w:val="28"/>
          <w:szCs w:val="28"/>
        </w:rPr>
        <w:t xml:space="preserve">В связи с изложенным, по истечению срока аренды, граждане вправе продлить право временного возмездного землепользования (аренды) на новый срок. </w:t>
      </w:r>
    </w:p>
    <w:p w:rsidR="00017F28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4F86">
        <w:rPr>
          <w:rFonts w:ascii="Times New Roman" w:hAnsi="Times New Roman" w:cs="Times New Roman"/>
          <w:sz w:val="28"/>
          <w:szCs w:val="28"/>
        </w:rPr>
        <w:t xml:space="preserve">Учитывая изложенное предлагаемое внесение изменений в Кодекс по </w:t>
      </w:r>
      <w:r w:rsidRPr="00F74F86">
        <w:rPr>
          <w:rFonts w:ascii="Times New Roman" w:eastAsiaTheme="minorEastAsia" w:hAnsi="Times New Roman" w:cs="Times New Roman"/>
          <w:sz w:val="28"/>
          <w:szCs w:val="28"/>
        </w:rPr>
        <w:t>увеличению сроков освоения земельного участка для ИЖС до 5 лет считаем нецелесообразным, поскольку данный механизм уже урегулирован законодательством.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F74F86">
        <w:rPr>
          <w:rFonts w:ascii="Times New Roman" w:eastAsiaTheme="minorEastAsia" w:hAnsi="Times New Roman" w:cs="Times New Roman"/>
          <w:b/>
          <w:i/>
          <w:sz w:val="28"/>
          <w:szCs w:val="28"/>
        </w:rPr>
        <w:t>Касательно законодательной обязанности акиматов резервировать свободные территории населенного пункта для ИЖС с корректировками в утвержденные Генпланы и ПДП, ужесточения юридической ответственности за халатное отношение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соответствии с нормами Закона «Об архитектурной, градостроительной и строительной деятельности в Республике Казахстан» (далее – Закон) </w:t>
      </w: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организация разработки и представление на утверждение генеральных планов населенных пунктов относятся к компетенции местных исполнительных органов.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Генеральным планом определяются основные направления развития территории населенного пункта, включая социальную, рекреационную, производственную, транспортную и инженерную инфраструктуры, с учетом природно-климатических, сложившихся и прогнозируемых демографических и социально-экономических условий, функциональное зонирование и ограничение на использование территорий этих зон.</w:t>
      </w:r>
    </w:p>
    <w:p w:rsidR="00017F28" w:rsidRPr="00F74F86" w:rsidRDefault="000F7903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 связи с чем, с</w:t>
      </w:r>
      <w:r w:rsidR="00017F28"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троительство ИЖС предусм</w:t>
      </w: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атривается</w:t>
      </w:r>
      <w:r w:rsidR="00017F28"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 жил</w:t>
      </w: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ых</w:t>
      </w:r>
      <w:r w:rsidR="00017F28"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зон</w:t>
      </w: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ах</w:t>
      </w:r>
      <w:r w:rsidR="00017F28"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предназначен</w:t>
      </w: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ных</w:t>
      </w:r>
      <w:r w:rsidR="00017F28"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для застройки многоквартирными жилыми зданиями (домами) с обустроенными придомовыми территориями и индивидуальными жилыми домами с приусадебными участками.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</w:pPr>
      <w:r w:rsidRPr="00F74F86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Касательно введения очередности на предоставление земельных участков для ведения личного подсобного хозяйства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для ИЖС в рамках подпункта 14) пункта 1 статьи 48 Кодекса могут быть предоставлены без проведения торгов (аукционов) гражданам РК на подготовленных площадках для отвода либо при наличии свободных территории, используемых для ИЖС только в порядке очередности в соответствии с единым реестром очередности. 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земельные участки для ведения личного подсобного хозяйства (далее – ЛПХ) (приусадебный и полевой наделы) предоставляются в рамках статьи 43 Кодекса из земель сельских населенных пунктов.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Приусадебный надел предоставляется в границах (черте) сельских населенных пунктов и используется для производства сельскохозяйственной продукции, а также возведения жилого дома, хозяйственно-бытовых построек в соответствии с законодательством Республики Казахстан об архитектурной, градостроительной и строительной деятельности (пункт 2 статьи 102 Кодекса).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целях недопущения нарушения прав очередников на получение земельных участков для ИЖС, заявления о предоставлении земельных участков для ЛПХ в сельских населенных пунктах должны удовлетворяться при отсутствии очередности на предоставление земель для ИЖС.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введение очередности</w:t>
      </w:r>
      <w:r w:rsidR="000F7903"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(специальный учет)</w:t>
      </w: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земельных участков для ведения личного подсобного хозяйства </w:t>
      </w:r>
      <w:r w:rsidR="000F7903"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 возможным</w:t>
      </w: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Касательно разработки мероприятий перевода садоводческих и дачных кооперативов в районы для ИЖС с возможностью изменения целевого назначения земельных участков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соответствии со статьей 46 Закона граница (черта) населенного пункта определяет его территорию (градостроительное пространство) и устанавливается (изменяется) на основании утвержденного генерального плана </w:t>
      </w: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данного поселения в порядке, установленном законодательными актами Республики Казахстан.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Согласно нормам Закона пригородные зоны включают примыкающие к границе (черте) города земли, предназначенные для развития территории данного города, других населенных пунктов, входящих в пригородную зону, а также выполнения санитарно-защитных функций, размещения мест отдыха населения, садоводческих и дачных товариществ.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 этой связи, для изменения целевого назначения земельных участков садоводческих и дачных кооперативов в районы для индивидуального жилищного строительства необходимо изменить черту (границу) населенного пункта или определения статуса садоводческих и дачных кооперативов путем образования населенного пункта.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Согласно нормам Закона «Об административно-территориальном устройстве Республики Казахстан» </w:t>
      </w:r>
      <w:r w:rsidR="00050D6C"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установлен порядок, где </w:t>
      </w:r>
      <w:r w:rsidRPr="00F74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областные представительные и исполнительные органы совместным решением с учетом мнения районных (города областного значения) представительных и исполнительных органов относят населенные пункты, не являющиеся городами, к категории иных населенных пунктов, установленных настоящим Законом; образуют, упраздняют и преобразуют поселки, села, сельские округа, а также изменяют их подчиненность.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</w:pPr>
      <w:r w:rsidRPr="00F74F86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Касательно разработки социально-ориентированной кредитной программы в банках второго уровня для строительства ИЖС с низкой процентной ставкой</w:t>
      </w:r>
    </w:p>
    <w:p w:rsidR="00017F28" w:rsidRPr="00F74F86" w:rsidRDefault="00017F28" w:rsidP="00017F28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Национальный Банк придерживается курса по постепенному выходу из государственных программ поддержки экономики. Дальнейшее финансирование Национальным Банком программ поддержки экономики</w:t>
      </w:r>
      <w:r w:rsidR="007D71DE"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социально-ориентированных в банках второго уровня</w:t>
      </w:r>
      <w:r w:rsidRPr="00F7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рассматривается.</w:t>
      </w:r>
    </w:p>
    <w:p w:rsidR="007B47B7" w:rsidRPr="00F74F86" w:rsidRDefault="00017F28" w:rsidP="007B47B7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Касательно проведения проверки Ген</w:t>
      </w:r>
      <w:r w:rsidR="007D71DE" w:rsidRPr="00F74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еральной прокураторой и КУЗР</w:t>
      </w:r>
      <w:r w:rsidR="005E0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D71DE" w:rsidRPr="00F74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Pr="00F74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факту предоставления земельных участков для ИЖС без очереди</w:t>
      </w:r>
    </w:p>
    <w:p w:rsidR="007B47B7" w:rsidRPr="00F74F86" w:rsidRDefault="00017F28" w:rsidP="007B47B7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F86">
        <w:rPr>
          <w:rFonts w:ascii="Times New Roman" w:hAnsi="Times New Roman" w:cs="Times New Roman"/>
          <w:sz w:val="28"/>
          <w:szCs w:val="28"/>
        </w:rPr>
        <w:t>Териториальными подразделениями Комитета по управлению земельными ресурсами Министерства (далее – территориальное подразделение) проведена проверка в городах Алматы, Астана и Шымкент.</w:t>
      </w:r>
    </w:p>
    <w:p w:rsidR="007B47B7" w:rsidRPr="00F74F86" w:rsidRDefault="00017F28" w:rsidP="007B47B7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F86">
        <w:rPr>
          <w:rFonts w:ascii="Times New Roman" w:hAnsi="Times New Roman" w:cs="Times New Roman"/>
          <w:sz w:val="28"/>
          <w:szCs w:val="28"/>
        </w:rPr>
        <w:t>В результате установлено, что за период с 2020 по 2022 гг. было предоставлено без ведения специального учета:</w:t>
      </w:r>
    </w:p>
    <w:p w:rsidR="007B47B7" w:rsidRPr="00F74F86" w:rsidRDefault="00017F28" w:rsidP="007B47B7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F86">
        <w:rPr>
          <w:rFonts w:ascii="Times New Roman" w:hAnsi="Times New Roman" w:cs="Times New Roman"/>
          <w:sz w:val="28"/>
          <w:szCs w:val="28"/>
        </w:rPr>
        <w:t>- по городу Алматы 908 участков;</w:t>
      </w:r>
    </w:p>
    <w:p w:rsidR="007B47B7" w:rsidRPr="00F74F86" w:rsidRDefault="00017F28" w:rsidP="007B47B7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F86">
        <w:rPr>
          <w:rFonts w:ascii="Times New Roman" w:hAnsi="Times New Roman" w:cs="Times New Roman"/>
          <w:sz w:val="28"/>
          <w:szCs w:val="28"/>
        </w:rPr>
        <w:t xml:space="preserve">- по </w:t>
      </w:r>
      <w:r w:rsidRPr="00F74F86">
        <w:rPr>
          <w:rFonts w:ascii="Times New Roman" w:eastAsia="Calibri" w:hAnsi="Times New Roman" w:cs="Times New Roman"/>
          <w:sz w:val="28"/>
          <w:szCs w:val="28"/>
        </w:rPr>
        <w:t>городу Шымкент 72 участка;</w:t>
      </w:r>
    </w:p>
    <w:p w:rsidR="007B47B7" w:rsidRPr="00F74F86" w:rsidRDefault="00017F28" w:rsidP="007B47B7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F86">
        <w:rPr>
          <w:rFonts w:ascii="Times New Roman" w:hAnsi="Times New Roman" w:cs="Times New Roman"/>
          <w:sz w:val="28"/>
          <w:szCs w:val="28"/>
        </w:rPr>
        <w:t xml:space="preserve">- </w:t>
      </w:r>
      <w:r w:rsidRPr="00F74F86">
        <w:rPr>
          <w:rFonts w:ascii="Times New Roman" w:eastAsia="Calibri" w:hAnsi="Times New Roman" w:cs="Times New Roman"/>
          <w:sz w:val="28"/>
          <w:szCs w:val="28"/>
        </w:rPr>
        <w:t>по городу Астана фактов предоставления не выявлено.</w:t>
      </w:r>
    </w:p>
    <w:p w:rsidR="007B47B7" w:rsidRPr="00F74F86" w:rsidRDefault="00017F28" w:rsidP="007B47B7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F86">
        <w:rPr>
          <w:rFonts w:ascii="Times New Roman" w:hAnsi="Times New Roman" w:cs="Times New Roman"/>
          <w:sz w:val="28"/>
          <w:szCs w:val="28"/>
        </w:rPr>
        <w:t>Территориальным подразделением по городу Алматы выданы соответствующие предписания, за неисполнение которых составлены протоколы</w:t>
      </w:r>
      <w:r w:rsidRPr="00F74F86">
        <w:t xml:space="preserve"> </w:t>
      </w:r>
      <w:r w:rsidRPr="00F74F86">
        <w:rPr>
          <w:rFonts w:ascii="Times New Roman" w:hAnsi="Times New Roman" w:cs="Times New Roman"/>
          <w:sz w:val="28"/>
          <w:szCs w:val="28"/>
        </w:rPr>
        <w:t>в отношении руководителя аппарата акима города Алматы и руководителя Управления земельных отношений города Алматы, которые направлены в Специализированный межрайонный суд по административным правонарушениям города Алматы для принятия соответствующих мер.</w:t>
      </w:r>
    </w:p>
    <w:p w:rsidR="007B47B7" w:rsidRPr="00F74F86" w:rsidRDefault="00017F28" w:rsidP="007B47B7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F86">
        <w:rPr>
          <w:rFonts w:ascii="Times New Roman" w:hAnsi="Times New Roman" w:cs="Times New Roman"/>
          <w:sz w:val="28"/>
          <w:szCs w:val="28"/>
        </w:rPr>
        <w:t xml:space="preserve">Аппаратом акима г.Алматы, Управлением земельных отношений г.Алматы поданы административные иски о несогласии с вынесенными предписаниями в Специализированный межрайонный административный суд города Алматы. По данным фактам в настоящее время </w:t>
      </w:r>
      <w:r w:rsidR="007D71DE" w:rsidRPr="00F74F86">
        <w:rPr>
          <w:rFonts w:ascii="Times New Roman" w:hAnsi="Times New Roman" w:cs="Times New Roman"/>
          <w:sz w:val="28"/>
          <w:szCs w:val="28"/>
        </w:rPr>
        <w:t>ведутся</w:t>
      </w:r>
      <w:r w:rsidRPr="00F74F86">
        <w:rPr>
          <w:rFonts w:ascii="Times New Roman" w:hAnsi="Times New Roman" w:cs="Times New Roman"/>
          <w:sz w:val="28"/>
          <w:szCs w:val="28"/>
        </w:rPr>
        <w:t xml:space="preserve"> судебные процессы.</w:t>
      </w:r>
    </w:p>
    <w:p w:rsidR="00017F28" w:rsidRPr="00F74F86" w:rsidRDefault="00017F28" w:rsidP="007B47B7">
      <w:pPr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F86">
        <w:rPr>
          <w:rFonts w:ascii="Times New Roman" w:eastAsia="Calibri" w:hAnsi="Times New Roman" w:cs="Times New Roman"/>
          <w:sz w:val="28"/>
          <w:szCs w:val="28"/>
        </w:rPr>
        <w:t xml:space="preserve">Территориальным подразделением по городу Шымкент в Абайский районный суд города Шымкент направлено 10 исковых заявлений, из них </w:t>
      </w:r>
      <w:r w:rsidR="0029638D">
        <w:rPr>
          <w:rFonts w:ascii="Times New Roman" w:eastAsia="Calibri" w:hAnsi="Times New Roman" w:cs="Times New Roman"/>
          <w:sz w:val="28"/>
          <w:szCs w:val="28"/>
        </w:rPr>
        <w:br/>
      </w:r>
      <w:r w:rsidRPr="00F74F86">
        <w:rPr>
          <w:rFonts w:ascii="Times New Roman" w:eastAsia="Calibri" w:hAnsi="Times New Roman" w:cs="Times New Roman"/>
          <w:sz w:val="28"/>
          <w:szCs w:val="28"/>
        </w:rPr>
        <w:t>6 удовлетворены и нашли доказательства незаконности, 4 находятся на стадии рассмотрения</w:t>
      </w:r>
      <w:r w:rsidR="007D71DE" w:rsidRPr="00F74F86">
        <w:rPr>
          <w:rFonts w:ascii="Times New Roman" w:eastAsia="Calibri" w:hAnsi="Times New Roman" w:cs="Times New Roman"/>
          <w:sz w:val="28"/>
          <w:szCs w:val="28"/>
        </w:rPr>
        <w:t xml:space="preserve"> в судебном порядке</w:t>
      </w:r>
      <w:r w:rsidRPr="00F74F86">
        <w:rPr>
          <w:rFonts w:ascii="Times New Roman" w:eastAsia="Calibri" w:hAnsi="Times New Roman" w:cs="Times New Roman"/>
          <w:sz w:val="28"/>
          <w:szCs w:val="28"/>
        </w:rPr>
        <w:t>.</w:t>
      </w:r>
      <w:r w:rsidR="007D71DE" w:rsidRPr="00F74F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7F28" w:rsidRPr="00F74F86" w:rsidRDefault="00017F28" w:rsidP="007D71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4F86">
        <w:rPr>
          <w:rFonts w:ascii="Times New Roman" w:hAnsi="Times New Roman" w:cs="Times New Roman"/>
          <w:b/>
          <w:sz w:val="28"/>
          <w:szCs w:val="28"/>
        </w:rPr>
        <w:t>Р. Скляр</w:t>
      </w:r>
    </w:p>
    <w:p w:rsidR="00017F28" w:rsidRPr="00F74F86" w:rsidRDefault="00017F28" w:rsidP="00017F28">
      <w:pPr>
        <w:spacing w:after="0" w:line="240" w:lineRule="auto"/>
      </w:pPr>
    </w:p>
    <w:p w:rsidR="007B47B7" w:rsidRPr="00F74F86" w:rsidRDefault="007B47B7" w:rsidP="00017F28">
      <w:pPr>
        <w:spacing w:after="0" w:line="240" w:lineRule="auto"/>
      </w:pPr>
    </w:p>
    <w:p w:rsidR="007B47B7" w:rsidRPr="00F74F86" w:rsidRDefault="007B47B7" w:rsidP="00017F28">
      <w:pPr>
        <w:spacing w:after="0" w:line="240" w:lineRule="auto"/>
      </w:pPr>
    </w:p>
    <w:p w:rsidR="00F74F86" w:rsidRPr="00F74F86" w:rsidRDefault="00F74F86" w:rsidP="00017F28">
      <w:pPr>
        <w:spacing w:after="0" w:line="240" w:lineRule="auto"/>
      </w:pPr>
    </w:p>
    <w:p w:rsidR="00C44EC8" w:rsidRDefault="00C44EC8" w:rsidP="00017F28">
      <w:pPr>
        <w:spacing w:after="0" w:line="240" w:lineRule="auto"/>
      </w:pPr>
    </w:p>
    <w:p w:rsidR="00C44EC8" w:rsidRDefault="00C44EC8" w:rsidP="00017F28">
      <w:pPr>
        <w:spacing w:after="0" w:line="240" w:lineRule="auto"/>
      </w:pPr>
    </w:p>
    <w:p w:rsidR="00C44EC8" w:rsidRDefault="00C44EC8" w:rsidP="00017F28">
      <w:pPr>
        <w:spacing w:after="0" w:line="240" w:lineRule="auto"/>
      </w:pPr>
    </w:p>
    <w:p w:rsidR="00C44EC8" w:rsidRDefault="00C44EC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Default="001B6A38" w:rsidP="00017F28">
      <w:pPr>
        <w:spacing w:after="0" w:line="240" w:lineRule="auto"/>
      </w:pPr>
    </w:p>
    <w:p w:rsidR="001B6A38" w:rsidRPr="00F74F86" w:rsidRDefault="001B6A38" w:rsidP="00017F28">
      <w:pPr>
        <w:spacing w:after="0" w:line="240" w:lineRule="auto"/>
      </w:pPr>
    </w:p>
    <w:p w:rsidR="007B47B7" w:rsidRPr="00F74F86" w:rsidRDefault="007B47B7" w:rsidP="00017F28">
      <w:pPr>
        <w:spacing w:after="0" w:line="240" w:lineRule="auto"/>
      </w:pPr>
    </w:p>
    <w:p w:rsidR="007B47B7" w:rsidRPr="00F74F86" w:rsidRDefault="007B47B7" w:rsidP="007B47B7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F74F86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Исп.: Е. Мамыт </w:t>
      </w:r>
    </w:p>
    <w:p w:rsidR="007B47B7" w:rsidRPr="00F74F86" w:rsidRDefault="007B47B7" w:rsidP="007B47B7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i/>
          <w:sz w:val="18"/>
          <w:szCs w:val="20"/>
        </w:rPr>
      </w:pPr>
      <w:r w:rsidRPr="00F74F86">
        <w:rPr>
          <w:rFonts w:ascii="Times New Roman" w:hAnsi="Times New Roman"/>
          <w:i/>
          <w:sz w:val="18"/>
          <w:szCs w:val="20"/>
        </w:rPr>
        <w:t>Тел.: 74-53-86</w:t>
      </w:r>
    </w:p>
    <w:p w:rsidR="007B47B7" w:rsidRPr="00F74F86" w:rsidRDefault="007B47B7" w:rsidP="007B47B7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i/>
          <w:sz w:val="18"/>
          <w:szCs w:val="20"/>
        </w:rPr>
      </w:pPr>
      <w:r w:rsidRPr="00F74F86">
        <w:rPr>
          <w:rStyle w:val="a9"/>
          <w:rFonts w:ascii="Times New Roman" w:hAnsi="Times New Roman"/>
          <w:i/>
          <w:sz w:val="18"/>
          <w:szCs w:val="20"/>
        </w:rPr>
        <w:t>mamyt_yen@ukimet.kz</w:t>
      </w:r>
      <w:r w:rsidRPr="00F74F86">
        <w:rPr>
          <w:rFonts w:ascii="Times New Roman" w:hAnsi="Times New Roman"/>
          <w:i/>
          <w:sz w:val="18"/>
          <w:szCs w:val="20"/>
        </w:rPr>
        <w:t xml:space="preserve"> </w:t>
      </w:r>
    </w:p>
    <w:sectPr w:rsidR="007B47B7" w:rsidRPr="00F74F86" w:rsidSect="00017F28">
      <w:headerReference w:type="default" r:id="rId6"/>
      <w:headerReference w:type="first" r:id="rId7"/>
      <w:pgSz w:w="11906" w:h="16838"/>
      <w:pgMar w:top="1418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88" w:rsidRDefault="00261888" w:rsidP="00F55F2E">
      <w:pPr>
        <w:spacing w:after="0" w:line="240" w:lineRule="auto"/>
      </w:pPr>
      <w:r>
        <w:separator/>
      </w:r>
    </w:p>
  </w:endnote>
  <w:endnote w:type="continuationSeparator" w:id="0">
    <w:p w:rsidR="00261888" w:rsidRDefault="00261888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88" w:rsidRDefault="00261888" w:rsidP="00F55F2E">
      <w:pPr>
        <w:spacing w:after="0" w:line="240" w:lineRule="auto"/>
      </w:pPr>
      <w:r>
        <w:separator/>
      </w:r>
    </w:p>
  </w:footnote>
  <w:footnote w:type="continuationSeparator" w:id="0">
    <w:p w:rsidR="00261888" w:rsidRDefault="00261888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F4" w:rsidRDefault="007323F4">
    <w:pPr>
      <w:pStyle w:val="a5"/>
      <w:jc w:val="center"/>
    </w:pPr>
  </w:p>
  <w:sdt>
    <w:sdtPr>
      <w:id w:val="-1438212883"/>
      <w:docPartObj>
        <w:docPartGallery w:val="Page Numbers (Top of Page)"/>
        <w:docPartUnique/>
      </w:docPartObj>
    </w:sdtPr>
    <w:sdtEndPr/>
    <w:sdtContent>
      <w:p w:rsidR="007323F4" w:rsidRDefault="007323F4">
        <w:pPr>
          <w:pStyle w:val="a5"/>
          <w:jc w:val="center"/>
        </w:pPr>
      </w:p>
      <w:p w:rsidR="00F74F86" w:rsidRDefault="00F74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08">
          <w:rPr>
            <w:noProof/>
          </w:rPr>
          <w:t>3</w:t>
        </w:r>
        <w:r>
          <w:fldChar w:fldCharType="end"/>
        </w:r>
      </w:p>
    </w:sdtContent>
  </w:sdt>
  <w:p w:rsidR="00F74F86" w:rsidRDefault="00F74F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33" w:rsidRDefault="00486CB9">
    <w:pPr>
      <w:pStyle w:val="a5"/>
    </w:pPr>
    <w:r>
      <w:rPr>
        <w:noProof/>
        <w:lang w:eastAsia="ru-RU"/>
      </w:rPr>
      <w:drawing>
        <wp:inline distT="0" distB="0" distL="0" distR="0">
          <wp:extent cx="6477000" cy="1905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17F28"/>
    <w:rsid w:val="00050D6C"/>
    <w:rsid w:val="00083C2D"/>
    <w:rsid w:val="000A2792"/>
    <w:rsid w:val="000B7A5A"/>
    <w:rsid w:val="000F7903"/>
    <w:rsid w:val="0019324F"/>
    <w:rsid w:val="001A2B21"/>
    <w:rsid w:val="001B6A38"/>
    <w:rsid w:val="001D1B76"/>
    <w:rsid w:val="00232608"/>
    <w:rsid w:val="00261888"/>
    <w:rsid w:val="0029638D"/>
    <w:rsid w:val="002C13C5"/>
    <w:rsid w:val="002E3643"/>
    <w:rsid w:val="002E429E"/>
    <w:rsid w:val="002F1715"/>
    <w:rsid w:val="00341807"/>
    <w:rsid w:val="00380F53"/>
    <w:rsid w:val="00416C33"/>
    <w:rsid w:val="00442367"/>
    <w:rsid w:val="00485EAA"/>
    <w:rsid w:val="00486CB9"/>
    <w:rsid w:val="004E1040"/>
    <w:rsid w:val="0053529D"/>
    <w:rsid w:val="00575B6A"/>
    <w:rsid w:val="00582253"/>
    <w:rsid w:val="005912A8"/>
    <w:rsid w:val="005C18BB"/>
    <w:rsid w:val="005E0508"/>
    <w:rsid w:val="00607AC4"/>
    <w:rsid w:val="00634B73"/>
    <w:rsid w:val="006E444F"/>
    <w:rsid w:val="00704F3C"/>
    <w:rsid w:val="007155C6"/>
    <w:rsid w:val="00717812"/>
    <w:rsid w:val="007323F4"/>
    <w:rsid w:val="007736F7"/>
    <w:rsid w:val="007B47B7"/>
    <w:rsid w:val="007D39BC"/>
    <w:rsid w:val="007D71DE"/>
    <w:rsid w:val="008B5E91"/>
    <w:rsid w:val="008C3B0F"/>
    <w:rsid w:val="008C668C"/>
    <w:rsid w:val="008C7F61"/>
    <w:rsid w:val="008D47F1"/>
    <w:rsid w:val="008F2EDA"/>
    <w:rsid w:val="00A40F19"/>
    <w:rsid w:val="00A432E2"/>
    <w:rsid w:val="00AA3181"/>
    <w:rsid w:val="00B03802"/>
    <w:rsid w:val="00B0389B"/>
    <w:rsid w:val="00B83EC8"/>
    <w:rsid w:val="00BD0656"/>
    <w:rsid w:val="00C052E2"/>
    <w:rsid w:val="00C44EC8"/>
    <w:rsid w:val="00C84B6C"/>
    <w:rsid w:val="00CC2C79"/>
    <w:rsid w:val="00CE6C21"/>
    <w:rsid w:val="00D47E2C"/>
    <w:rsid w:val="00E46D04"/>
    <w:rsid w:val="00E75D2E"/>
    <w:rsid w:val="00EA0DD7"/>
    <w:rsid w:val="00ED0CB5"/>
    <w:rsid w:val="00EF78DF"/>
    <w:rsid w:val="00F55F2E"/>
    <w:rsid w:val="00F705DF"/>
    <w:rsid w:val="00F74F86"/>
    <w:rsid w:val="00F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B4AE29-E069-4D37-9BA5-F550ADCF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2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70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2">
    <w:name w:val="Body Text 2"/>
    <w:basedOn w:val="a"/>
    <w:link w:val="20"/>
    <w:uiPriority w:val="99"/>
    <w:unhideWhenUsed/>
    <w:rsid w:val="007B47B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B47B7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B47B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0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F7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Кусаинова Галия</cp:lastModifiedBy>
  <cp:revision>7</cp:revision>
  <cp:lastPrinted>2023-05-03T13:35:00Z</cp:lastPrinted>
  <dcterms:created xsi:type="dcterms:W3CDTF">2023-05-03T13:19:00Z</dcterms:created>
  <dcterms:modified xsi:type="dcterms:W3CDTF">2023-05-10T04:12:00Z</dcterms:modified>
</cp:coreProperties>
</file>